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1959C" w14:textId="18662414" w:rsidR="009F5BB3" w:rsidRPr="00ED3712" w:rsidRDefault="009F5BB3" w:rsidP="007A7BC6">
      <w:pPr>
        <w:rPr>
          <w:lang w:val="el-GR"/>
        </w:rPr>
      </w:pPr>
    </w:p>
    <w:p w14:paraId="736D66B9" w14:textId="77777777" w:rsidR="007A7BC6" w:rsidRDefault="007A7BC6" w:rsidP="007A7BC6">
      <w:pPr>
        <w:rPr>
          <w:lang w:val="el-GR"/>
        </w:rPr>
      </w:pPr>
    </w:p>
    <w:p w14:paraId="339A84CB" w14:textId="5009D559" w:rsidR="007A7BC6" w:rsidRPr="00034FBB" w:rsidRDefault="007A7BC6" w:rsidP="00034FBB">
      <w:pPr>
        <w:tabs>
          <w:tab w:val="left" w:pos="7371"/>
        </w:tabs>
        <w:spacing w:after="0" w:line="280" w:lineRule="atLeast"/>
        <w:ind w:left="0" w:right="0"/>
        <w:jc w:val="both"/>
        <w:rPr>
          <w:rFonts w:ascii="Calibri" w:eastAsia="Times New Roman" w:hAnsi="Calibri" w:cs="Calibri"/>
          <w:kern w:val="0"/>
          <w:sz w:val="24"/>
          <w:szCs w:val="24"/>
          <w:lang w:val="el-GR" w:eastAsia="el-GR"/>
          <w14:ligatures w14:val="none"/>
        </w:rPr>
      </w:pPr>
      <w:r w:rsidRPr="007A7BC6">
        <w:rPr>
          <w:rFonts w:ascii="Calibri" w:eastAsia="Times New Roman" w:hAnsi="Calibri" w:cs="Calibri"/>
          <w:b/>
          <w:kern w:val="0"/>
          <w:sz w:val="24"/>
          <w:szCs w:val="24"/>
          <w:lang w:eastAsia="el-GR"/>
          <w14:ligatures w14:val="none"/>
        </w:rPr>
        <w:t>DIRECTOR</w:t>
      </w:r>
      <w:r w:rsidRPr="007A7BC6">
        <w:rPr>
          <w:rFonts w:ascii="Calibri" w:eastAsia="Times New Roman" w:hAnsi="Calibri" w:cs="Calibri"/>
          <w:b/>
          <w:kern w:val="0"/>
          <w:sz w:val="24"/>
          <w:szCs w:val="24"/>
          <w:lang w:val="el-GR" w:eastAsia="el-GR"/>
          <w14:ligatures w14:val="none"/>
        </w:rPr>
        <w:t xml:space="preserve"> ΡΥΘΜΙΣΤΙΚΩΝ ΘΕΜΑΤΩΝ</w:t>
      </w:r>
      <w:r w:rsidRPr="007A7BC6">
        <w:rPr>
          <w:rFonts w:ascii="Calibri" w:eastAsia="Times New Roman" w:hAnsi="Calibri" w:cs="Calibri"/>
          <w:b/>
          <w:kern w:val="0"/>
          <w:sz w:val="24"/>
          <w:szCs w:val="24"/>
          <w:lang w:val="el-GR" w:eastAsia="el-GR"/>
          <w14:ligatures w14:val="none"/>
        </w:rPr>
        <w:tab/>
        <w:t>ΕΜΠΙΣΤΕΥΤΙΚΟ</w:t>
      </w:r>
      <w:r w:rsidRPr="007A7BC6">
        <w:rPr>
          <w:rFonts w:ascii="Calibri" w:eastAsia="Times New Roman" w:hAnsi="Calibri" w:cs="Calibri"/>
          <w:b/>
          <w:kern w:val="0"/>
          <w:sz w:val="24"/>
          <w:szCs w:val="24"/>
          <w:lang w:val="el-GR" w:eastAsia="el-GR"/>
          <w14:ligatures w14:val="none"/>
        </w:rPr>
        <w:tab/>
      </w:r>
      <w:r w:rsidRPr="007A7BC6">
        <w:rPr>
          <w:rFonts w:ascii="Calibri" w:eastAsia="Times New Roman" w:hAnsi="Calibri" w:cs="Calibri"/>
          <w:b/>
          <w:kern w:val="0"/>
          <w:sz w:val="24"/>
          <w:szCs w:val="24"/>
          <w:lang w:val="el-GR" w:eastAsia="el-GR"/>
          <w14:ligatures w14:val="none"/>
        </w:rPr>
        <w:tab/>
      </w:r>
      <w:r w:rsidRPr="007A7BC6">
        <w:rPr>
          <w:rFonts w:ascii="Calibri" w:eastAsia="Times New Roman" w:hAnsi="Calibri" w:cs="Calibri"/>
          <w:kern w:val="0"/>
          <w:sz w:val="24"/>
          <w:szCs w:val="24"/>
          <w:lang w:val="el-GR" w:eastAsia="el-GR"/>
          <w14:ligatures w14:val="none"/>
        </w:rPr>
        <w:t xml:space="preserve">Μαρούσι, </w:t>
      </w:r>
      <w:r w:rsidR="00034FBB" w:rsidRPr="00034FBB">
        <w:rPr>
          <w:rFonts w:ascii="Calibri" w:eastAsia="Times New Roman" w:hAnsi="Calibri" w:cs="Calibri"/>
          <w:kern w:val="0"/>
          <w:sz w:val="24"/>
          <w:szCs w:val="24"/>
          <w:lang w:val="el-GR" w:eastAsia="el-GR"/>
          <w14:ligatures w14:val="none"/>
        </w:rPr>
        <w:t>13.10.2025</w:t>
      </w:r>
    </w:p>
    <w:p w14:paraId="49E53457" w14:textId="63CF2FCD" w:rsidR="007A7BC6" w:rsidRPr="00034FBB" w:rsidRDefault="007A7BC6" w:rsidP="00034FBB">
      <w:pPr>
        <w:tabs>
          <w:tab w:val="left" w:pos="7371"/>
        </w:tabs>
        <w:spacing w:after="0" w:line="280" w:lineRule="atLeast"/>
        <w:ind w:left="0" w:right="0"/>
        <w:jc w:val="both"/>
        <w:rPr>
          <w:rFonts w:ascii="Calibri" w:eastAsia="Times New Roman" w:hAnsi="Calibri" w:cs="Calibri"/>
          <w:b/>
          <w:kern w:val="0"/>
          <w:sz w:val="24"/>
          <w:szCs w:val="24"/>
          <w:lang w:val="el-GR" w:eastAsia="el-GR"/>
          <w14:ligatures w14:val="none"/>
        </w:rPr>
      </w:pPr>
      <w:r w:rsidRPr="007A7BC6">
        <w:rPr>
          <w:rFonts w:ascii="Calibri" w:eastAsia="Times New Roman" w:hAnsi="Calibri" w:cs="Calibri"/>
          <w:b/>
          <w:kern w:val="0"/>
          <w:sz w:val="24"/>
          <w:szCs w:val="24"/>
          <w:lang w:val="el-GR" w:eastAsia="el-GR"/>
          <w14:ligatures w14:val="none"/>
        </w:rPr>
        <w:tab/>
      </w:r>
      <w:r w:rsidRPr="007A7BC6">
        <w:rPr>
          <w:rFonts w:ascii="Calibri" w:eastAsia="Times New Roman" w:hAnsi="Calibri" w:cs="Calibri"/>
          <w:bCs w:val="0"/>
          <w:kern w:val="0"/>
          <w:sz w:val="24"/>
          <w:szCs w:val="24"/>
          <w:lang w:val="el-GR" w:eastAsia="el-GR"/>
          <w14:ligatures w14:val="none"/>
        </w:rPr>
        <w:t>ΑΡΙΘ: 17/</w:t>
      </w:r>
      <w:r w:rsidRPr="007A7BC6">
        <w:rPr>
          <w:rFonts w:ascii="Calibri" w:eastAsia="Times New Roman" w:hAnsi="Calibri" w:cs="Calibri"/>
          <w:bCs w:val="0"/>
          <w:kern w:val="0"/>
          <w:sz w:val="24"/>
          <w:szCs w:val="24"/>
          <w:lang w:eastAsia="el-GR"/>
          <w14:ligatures w14:val="none"/>
        </w:rPr>
        <w:t>EM</w:t>
      </w:r>
      <w:r w:rsidRPr="007A7BC6">
        <w:rPr>
          <w:rFonts w:ascii="Calibri" w:eastAsia="Times New Roman" w:hAnsi="Calibri" w:cs="Calibri"/>
          <w:bCs w:val="0"/>
          <w:kern w:val="0"/>
          <w:sz w:val="24"/>
          <w:szCs w:val="24"/>
          <w:lang w:val="el-GR" w:eastAsia="el-GR"/>
          <w14:ligatures w14:val="none"/>
        </w:rPr>
        <w:t>Π.</w:t>
      </w:r>
      <w:r w:rsidR="00034FBB" w:rsidRPr="00034FBB">
        <w:rPr>
          <w:rFonts w:ascii="Calibri" w:eastAsia="Times New Roman" w:hAnsi="Calibri" w:cs="Calibri"/>
          <w:bCs w:val="0"/>
          <w:kern w:val="0"/>
          <w:sz w:val="24"/>
          <w:szCs w:val="24"/>
          <w:lang w:val="el-GR" w:eastAsia="el-GR"/>
          <w14:ligatures w14:val="none"/>
        </w:rPr>
        <w:t>63</w:t>
      </w:r>
    </w:p>
    <w:p w14:paraId="7915CA37" w14:textId="77777777" w:rsidR="007A7BC6" w:rsidRPr="007A7BC6" w:rsidRDefault="007A7BC6" w:rsidP="007A7BC6">
      <w:pPr>
        <w:tabs>
          <w:tab w:val="left" w:pos="5812"/>
        </w:tabs>
        <w:spacing w:after="0" w:line="280" w:lineRule="atLeast"/>
        <w:ind w:left="0" w:right="0"/>
        <w:jc w:val="both"/>
        <w:rPr>
          <w:rFonts w:ascii="Calibri" w:eastAsia="Times New Roman" w:hAnsi="Calibri" w:cs="Calibri"/>
          <w:bCs w:val="0"/>
          <w:kern w:val="0"/>
          <w:sz w:val="24"/>
          <w:szCs w:val="24"/>
          <w:lang w:val="el-GR" w:eastAsia="x-none"/>
          <w14:ligatures w14:val="none"/>
        </w:rPr>
      </w:pPr>
    </w:p>
    <w:p w14:paraId="53FB8D4D" w14:textId="77777777" w:rsidR="007A7BC6" w:rsidRPr="007A7BC6" w:rsidRDefault="007A7BC6" w:rsidP="007A7BC6">
      <w:pPr>
        <w:tabs>
          <w:tab w:val="left" w:pos="993"/>
        </w:tabs>
        <w:spacing w:after="0" w:line="280" w:lineRule="atLeast"/>
        <w:ind w:left="0" w:right="0"/>
        <w:jc w:val="both"/>
        <w:rPr>
          <w:rFonts w:ascii="Calibri" w:eastAsia="Times New Roman" w:hAnsi="Calibri" w:cs="Calibri"/>
          <w:b/>
          <w:bCs w:val="0"/>
          <w:kern w:val="0"/>
          <w:sz w:val="24"/>
          <w:szCs w:val="24"/>
          <w:lang w:val="el-GR" w:eastAsia="x-none"/>
          <w14:ligatures w14:val="none"/>
        </w:rPr>
      </w:pPr>
    </w:p>
    <w:p w14:paraId="74689D69" w14:textId="77777777" w:rsidR="007A7BC6" w:rsidRPr="007A7BC6" w:rsidRDefault="007A7BC6" w:rsidP="007A7BC6">
      <w:pPr>
        <w:tabs>
          <w:tab w:val="left" w:pos="993"/>
        </w:tabs>
        <w:spacing w:after="0" w:line="280" w:lineRule="atLeast"/>
        <w:ind w:left="0" w:right="0"/>
        <w:jc w:val="both"/>
        <w:rPr>
          <w:rFonts w:ascii="Calibri" w:eastAsia="Times New Roman" w:hAnsi="Calibri" w:cs="Calibri"/>
          <w:b/>
          <w:bCs w:val="0"/>
          <w:kern w:val="0"/>
          <w:sz w:val="24"/>
          <w:szCs w:val="24"/>
          <w:lang w:val="el-GR" w:eastAsia="x-none"/>
          <w14:ligatures w14:val="none"/>
        </w:rPr>
      </w:pPr>
    </w:p>
    <w:p w14:paraId="6C6BA833" w14:textId="198C8B8B" w:rsidR="007A7BC6" w:rsidRPr="007A7BC6" w:rsidRDefault="007A7BC6" w:rsidP="007A7BC6">
      <w:pPr>
        <w:tabs>
          <w:tab w:val="left" w:pos="993"/>
        </w:tabs>
        <w:spacing w:after="0" w:line="280" w:lineRule="atLeast"/>
        <w:ind w:left="0" w:right="0"/>
        <w:jc w:val="both"/>
        <w:rPr>
          <w:rFonts w:ascii="Calibri" w:eastAsia="Times New Roman" w:hAnsi="Calibri" w:cs="Calibri"/>
          <w:b/>
          <w:bCs w:val="0"/>
          <w:kern w:val="0"/>
          <w:sz w:val="24"/>
          <w:szCs w:val="24"/>
          <w:lang w:val="x-none" w:eastAsia="x-none"/>
          <w14:ligatures w14:val="none"/>
        </w:rPr>
      </w:pPr>
      <w:r w:rsidRPr="007A7BC6">
        <w:rPr>
          <w:rFonts w:ascii="Calibri" w:eastAsia="Times New Roman" w:hAnsi="Calibri" w:cs="Calibri"/>
          <w:b/>
          <w:bCs w:val="0"/>
          <w:kern w:val="0"/>
          <w:sz w:val="24"/>
          <w:szCs w:val="24"/>
          <w:lang w:val="x-none" w:eastAsia="x-none"/>
          <w14:ligatures w14:val="none"/>
        </w:rPr>
        <w:t>ΠΡΟΣ:</w:t>
      </w:r>
      <w:r w:rsidRPr="007A7BC6">
        <w:rPr>
          <w:rFonts w:ascii="Calibri" w:eastAsia="Times New Roman" w:hAnsi="Calibri" w:cs="Calibri"/>
          <w:b/>
          <w:bCs w:val="0"/>
          <w:kern w:val="0"/>
          <w:sz w:val="24"/>
          <w:szCs w:val="24"/>
          <w:lang w:val="x-none" w:eastAsia="x-none"/>
          <w14:ligatures w14:val="none"/>
        </w:rPr>
        <w:tab/>
        <w:t xml:space="preserve">ΕΘΝΙΚΗ ΕΠΙΤΡΟΠΗ ΤΗΛΕΠΙΚΟΙΝΩΝΙΩΝ &amp; ΤΑΧΥΔΡΟΜΕΙΩΝ </w:t>
      </w:r>
    </w:p>
    <w:p w14:paraId="79208B75" w14:textId="3FD21F53" w:rsidR="007A7BC6" w:rsidRPr="007A7BC6" w:rsidRDefault="007A7BC6" w:rsidP="007A7BC6">
      <w:pPr>
        <w:tabs>
          <w:tab w:val="left" w:pos="993"/>
        </w:tabs>
        <w:spacing w:after="0" w:line="280" w:lineRule="atLeast"/>
        <w:ind w:left="0" w:right="29" w:firstLine="993"/>
        <w:jc w:val="both"/>
        <w:rPr>
          <w:rFonts w:ascii="Calibri" w:eastAsia="Times New Roman" w:hAnsi="Calibri" w:cs="Calibri"/>
          <w:bCs w:val="0"/>
          <w:kern w:val="0"/>
          <w:sz w:val="24"/>
          <w:szCs w:val="24"/>
          <w:lang w:val="x-none" w:eastAsia="x-none"/>
          <w14:ligatures w14:val="none"/>
        </w:rPr>
      </w:pPr>
      <w:r w:rsidRPr="007A7BC6">
        <w:rPr>
          <w:rFonts w:ascii="Calibri" w:eastAsia="Times New Roman" w:hAnsi="Calibri" w:cs="Calibri"/>
          <w:bCs w:val="0"/>
          <w:kern w:val="0"/>
          <w:sz w:val="24"/>
          <w:szCs w:val="24"/>
          <w:lang w:val="x-none" w:eastAsia="x-none"/>
          <w14:ligatures w14:val="none"/>
        </w:rPr>
        <w:t xml:space="preserve">Λ. </w:t>
      </w:r>
      <w:proofErr w:type="spellStart"/>
      <w:r w:rsidRPr="007A7BC6">
        <w:rPr>
          <w:rFonts w:ascii="Calibri" w:eastAsia="Times New Roman" w:hAnsi="Calibri" w:cs="Calibri"/>
          <w:bCs w:val="0"/>
          <w:kern w:val="0"/>
          <w:sz w:val="24"/>
          <w:szCs w:val="24"/>
          <w:lang w:val="x-none" w:eastAsia="x-none"/>
          <w14:ligatures w14:val="none"/>
        </w:rPr>
        <w:t>Κηφισίας</w:t>
      </w:r>
      <w:proofErr w:type="spellEnd"/>
      <w:r w:rsidRPr="007A7BC6">
        <w:rPr>
          <w:rFonts w:ascii="Calibri" w:eastAsia="Times New Roman" w:hAnsi="Calibri" w:cs="Calibri"/>
          <w:bCs w:val="0"/>
          <w:kern w:val="0"/>
          <w:sz w:val="24"/>
          <w:szCs w:val="24"/>
          <w:lang w:val="x-none" w:eastAsia="x-none"/>
          <w14:ligatures w14:val="none"/>
        </w:rPr>
        <w:t xml:space="preserve"> 60  </w:t>
      </w:r>
    </w:p>
    <w:p w14:paraId="70930D19" w14:textId="7B088618" w:rsidR="007A7BC6" w:rsidRPr="007A7BC6" w:rsidRDefault="007A7BC6" w:rsidP="007A7BC6">
      <w:pPr>
        <w:tabs>
          <w:tab w:val="left" w:pos="993"/>
        </w:tabs>
        <w:spacing w:after="0" w:line="280" w:lineRule="atLeast"/>
        <w:ind w:left="0" w:right="0" w:firstLine="993"/>
        <w:jc w:val="both"/>
        <w:rPr>
          <w:rFonts w:ascii="Calibri" w:eastAsia="Times New Roman" w:hAnsi="Calibri" w:cs="Calibri"/>
          <w:bCs w:val="0"/>
          <w:kern w:val="0"/>
          <w:sz w:val="24"/>
          <w:szCs w:val="24"/>
          <w:lang w:val="el-GR" w:eastAsia="x-none"/>
          <w14:ligatures w14:val="none"/>
        </w:rPr>
      </w:pPr>
      <w:r w:rsidRPr="007A7BC6">
        <w:rPr>
          <w:rFonts w:ascii="Calibri" w:eastAsia="Times New Roman" w:hAnsi="Calibri" w:cs="Calibri"/>
          <w:bCs w:val="0"/>
          <w:kern w:val="0"/>
          <w:sz w:val="24"/>
          <w:szCs w:val="24"/>
          <w:lang w:val="x-none" w:eastAsia="x-none"/>
          <w14:ligatures w14:val="none"/>
        </w:rPr>
        <w:t>151 25 Μαρούσι, ΑΘΗΝΑ.</w:t>
      </w:r>
    </w:p>
    <w:p w14:paraId="546A7330" w14:textId="77777777" w:rsidR="007A7BC6" w:rsidRPr="007A7BC6" w:rsidRDefault="007A7BC6" w:rsidP="007A7BC6">
      <w:pPr>
        <w:spacing w:after="240" w:line="280" w:lineRule="atLeast"/>
        <w:ind w:left="0" w:right="0"/>
        <w:jc w:val="both"/>
        <w:rPr>
          <w:rFonts w:ascii="Calibri" w:eastAsia="Times New Roman" w:hAnsi="Calibri" w:cs="Calibri"/>
          <w:bCs w:val="0"/>
          <w:kern w:val="0"/>
          <w:sz w:val="24"/>
          <w:szCs w:val="24"/>
          <w:lang w:val="el-GR" w:eastAsia="el-GR"/>
          <w14:ligatures w14:val="none"/>
        </w:rPr>
      </w:pPr>
      <w:r w:rsidRPr="007A7BC6">
        <w:rPr>
          <w:rFonts w:ascii="Calibri" w:eastAsia="Times New Roman" w:hAnsi="Calibri" w:cs="Calibri"/>
          <w:b/>
          <w:kern w:val="0"/>
          <w:sz w:val="24"/>
          <w:szCs w:val="24"/>
          <w:lang w:val="el-GR" w:eastAsia="el-GR"/>
          <w14:ligatures w14:val="none"/>
        </w:rPr>
        <w:tab/>
      </w:r>
    </w:p>
    <w:p w14:paraId="12D1E310" w14:textId="77777777" w:rsidR="007A7BC6" w:rsidRPr="007A7BC6" w:rsidRDefault="007A7BC6" w:rsidP="007A7BC6">
      <w:pPr>
        <w:tabs>
          <w:tab w:val="left" w:pos="993"/>
        </w:tabs>
        <w:spacing w:line="320" w:lineRule="atLeast"/>
        <w:ind w:left="992" w:right="0" w:hanging="992"/>
        <w:jc w:val="both"/>
        <w:rPr>
          <w:rFonts w:ascii="Times New Roman" w:eastAsia="Times New Roman" w:hAnsi="Times New Roman" w:cs="Times New Roman"/>
          <w:bCs w:val="0"/>
          <w:kern w:val="0"/>
          <w:sz w:val="24"/>
          <w:szCs w:val="16"/>
          <w:lang w:val="el-GR" w:eastAsia="x-none"/>
          <w14:ligatures w14:val="none"/>
        </w:rPr>
      </w:pPr>
      <w:r w:rsidRPr="007A7BC6">
        <w:rPr>
          <w:rFonts w:ascii="Calibri" w:eastAsia="Times New Roman" w:hAnsi="Calibri" w:cs="Calibri"/>
          <w:b/>
          <w:bCs w:val="0"/>
          <w:kern w:val="0"/>
          <w:sz w:val="24"/>
          <w:szCs w:val="24"/>
          <w:lang w:val="el-GR" w:eastAsia="x-none"/>
          <w14:ligatures w14:val="none"/>
        </w:rPr>
        <w:t>ΘΕΜΑ:</w:t>
      </w:r>
      <w:r w:rsidRPr="007A7BC6">
        <w:rPr>
          <w:rFonts w:ascii="Calibri" w:eastAsia="Times New Roman" w:hAnsi="Calibri" w:cs="Calibri"/>
          <w:b/>
          <w:bCs w:val="0"/>
          <w:kern w:val="0"/>
          <w:sz w:val="24"/>
          <w:szCs w:val="24"/>
          <w:lang w:val="el-GR" w:eastAsia="x-none"/>
          <w14:ligatures w14:val="none"/>
        </w:rPr>
        <w:tab/>
      </w:r>
      <w:r w:rsidRPr="007A7BC6">
        <w:rPr>
          <w:rFonts w:ascii="Calibri" w:eastAsia="Times New Roman" w:hAnsi="Calibri" w:cs="Calibri"/>
          <w:bCs w:val="0"/>
          <w:kern w:val="0"/>
          <w:sz w:val="24"/>
          <w:szCs w:val="24"/>
          <w:lang w:val="el-GR" w:eastAsia="x-none"/>
          <w14:ligatures w14:val="none"/>
        </w:rPr>
        <w:t xml:space="preserve">Σχόλια ΟΤΕ στο πλαίσιο της Δημόσιας Διαβούλευσης της ΕΕΤΤ επί του κοστολογικού μοντέλου NGA </w:t>
      </w:r>
      <w:proofErr w:type="spellStart"/>
      <w:r w:rsidRPr="007A7BC6">
        <w:rPr>
          <w:rFonts w:ascii="Calibri" w:eastAsia="Times New Roman" w:hAnsi="Calibri" w:cs="Calibri"/>
          <w:bCs w:val="0"/>
          <w:kern w:val="0"/>
          <w:sz w:val="24"/>
          <w:szCs w:val="24"/>
          <w:lang w:val="el-GR" w:eastAsia="x-none"/>
          <w14:ligatures w14:val="none"/>
        </w:rPr>
        <w:t>Bottom-up</w:t>
      </w:r>
      <w:proofErr w:type="spellEnd"/>
      <w:r w:rsidRPr="007A7BC6">
        <w:rPr>
          <w:rFonts w:ascii="Calibri" w:eastAsia="Times New Roman" w:hAnsi="Calibri" w:cs="Calibri"/>
          <w:bCs w:val="0"/>
          <w:kern w:val="0"/>
          <w:sz w:val="24"/>
          <w:szCs w:val="24"/>
          <w:lang w:val="el-GR" w:eastAsia="x-none"/>
          <w14:ligatures w14:val="none"/>
        </w:rPr>
        <w:t xml:space="preserve"> μοντέλου LRIC+ με βάση το τρέχον κόστος AΠ ΕΕΤΤ 937/03/18.5.2020 (ΦΕΚ 2039/Β/30.5.2020) και επί του </w:t>
      </w:r>
      <w:proofErr w:type="spellStart"/>
      <w:r w:rsidRPr="007A7BC6">
        <w:rPr>
          <w:rFonts w:ascii="Calibri" w:eastAsia="Times New Roman" w:hAnsi="Calibri" w:cs="Calibri"/>
          <w:bCs w:val="0"/>
          <w:kern w:val="0"/>
          <w:sz w:val="24"/>
          <w:szCs w:val="24"/>
          <w:lang w:val="el-GR" w:eastAsia="x-none"/>
          <w14:ligatures w14:val="none"/>
        </w:rPr>
        <w:t>επικαιροποιημένου</w:t>
      </w:r>
      <w:proofErr w:type="spellEnd"/>
      <w:r w:rsidRPr="007A7BC6">
        <w:rPr>
          <w:rFonts w:ascii="Calibri" w:eastAsia="Times New Roman" w:hAnsi="Calibri" w:cs="Calibri"/>
          <w:bCs w:val="0"/>
          <w:kern w:val="0"/>
          <w:sz w:val="24"/>
          <w:szCs w:val="24"/>
          <w:lang w:val="el-GR" w:eastAsia="x-none"/>
          <w14:ligatures w14:val="none"/>
        </w:rPr>
        <w:t xml:space="preserve"> </w:t>
      </w:r>
      <w:proofErr w:type="spellStart"/>
      <w:r w:rsidRPr="007A7BC6">
        <w:rPr>
          <w:rFonts w:ascii="Calibri" w:eastAsia="Times New Roman" w:hAnsi="Calibri" w:cs="Calibri"/>
          <w:bCs w:val="0"/>
          <w:kern w:val="0"/>
          <w:sz w:val="24"/>
          <w:szCs w:val="24"/>
          <w:lang w:val="el-GR" w:eastAsia="x-none"/>
          <w14:ligatures w14:val="none"/>
        </w:rPr>
        <w:t>bottom-up</w:t>
      </w:r>
      <w:proofErr w:type="spellEnd"/>
      <w:r w:rsidRPr="007A7BC6">
        <w:rPr>
          <w:rFonts w:ascii="Calibri" w:eastAsia="Times New Roman" w:hAnsi="Calibri" w:cs="Calibri"/>
          <w:bCs w:val="0"/>
          <w:kern w:val="0"/>
          <w:sz w:val="24"/>
          <w:szCs w:val="24"/>
          <w:lang w:val="el-GR" w:eastAsia="x-none"/>
          <w14:ligatures w14:val="none"/>
        </w:rPr>
        <w:t xml:space="preserve"> μοντέλου τιμών των προϊόντων των αγορών μισθωμένων γραμμών χονδρικής, σύμφωνα με την ΑΠ ΕΕΤΤ 934/03/27.04.2020 (Β’ 1833)</w:t>
      </w:r>
    </w:p>
    <w:p w14:paraId="1900A280" w14:textId="77777777" w:rsidR="007A7BC6" w:rsidRPr="007A7BC6" w:rsidRDefault="007A7BC6" w:rsidP="007A7BC6">
      <w:pPr>
        <w:widowControl w:val="0"/>
        <w:tabs>
          <w:tab w:val="left" w:pos="820"/>
        </w:tabs>
        <w:autoSpaceDE w:val="0"/>
        <w:autoSpaceDN w:val="0"/>
        <w:spacing w:before="120" w:line="360" w:lineRule="atLeast"/>
        <w:ind w:left="0" w:right="142"/>
        <w:jc w:val="both"/>
        <w:rPr>
          <w:rFonts w:ascii="Calibri" w:eastAsia="Calibri" w:hAnsi="Calibri" w:cs="Calibri"/>
          <w:bCs w:val="0"/>
          <w:kern w:val="0"/>
          <w:sz w:val="24"/>
          <w:szCs w:val="24"/>
          <w:lang w:val="el-GR"/>
          <w14:ligatures w14:val="none"/>
        </w:rPr>
      </w:pPr>
    </w:p>
    <w:p w14:paraId="4866B921" w14:textId="77777777" w:rsidR="007A7BC6" w:rsidRPr="007A7BC6" w:rsidRDefault="007A7BC6" w:rsidP="007A7BC6">
      <w:pPr>
        <w:widowControl w:val="0"/>
        <w:tabs>
          <w:tab w:val="left" w:pos="820"/>
        </w:tabs>
        <w:autoSpaceDE w:val="0"/>
        <w:autoSpaceDN w:val="0"/>
        <w:spacing w:before="120" w:line="360" w:lineRule="atLeast"/>
        <w:ind w:left="0" w:right="142"/>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Ο ΟΤΕ έχει επισημάνει σε πολλές περιστάσεις τη σημασία της </w:t>
      </w:r>
      <w:proofErr w:type="spellStart"/>
      <w:r w:rsidRPr="007A7BC6">
        <w:rPr>
          <w:rFonts w:ascii="Calibri" w:eastAsia="Calibri" w:hAnsi="Calibri" w:cs="Calibri"/>
          <w:bCs w:val="0"/>
          <w:kern w:val="0"/>
          <w:sz w:val="24"/>
          <w:szCs w:val="24"/>
          <w:lang w:val="el-GR"/>
          <w14:ligatures w14:val="none"/>
        </w:rPr>
        <w:t>επικαιροποίησης</w:t>
      </w:r>
      <w:proofErr w:type="spellEnd"/>
      <w:r w:rsidRPr="007A7BC6">
        <w:rPr>
          <w:rFonts w:ascii="Calibri" w:eastAsia="Calibri" w:hAnsi="Calibri" w:cs="Calibri"/>
          <w:bCs w:val="0"/>
          <w:kern w:val="0"/>
          <w:sz w:val="24"/>
          <w:szCs w:val="24"/>
          <w:lang w:val="el-GR"/>
          <w14:ligatures w14:val="none"/>
        </w:rPr>
        <w:t xml:space="preserve"> του </w:t>
      </w:r>
      <w:proofErr w:type="spellStart"/>
      <w:r w:rsidRPr="007A7BC6">
        <w:rPr>
          <w:rFonts w:ascii="Calibri" w:eastAsia="Calibri" w:hAnsi="Calibri" w:cs="Calibri"/>
          <w:bCs w:val="0"/>
          <w:kern w:val="0"/>
          <w:sz w:val="24"/>
          <w:szCs w:val="24"/>
          <w:lang w:val="el-GR"/>
          <w14:ligatures w14:val="none"/>
        </w:rPr>
        <w:t>Bottom</w:t>
      </w:r>
      <w:proofErr w:type="spellEnd"/>
      <w:r w:rsidRPr="007A7BC6">
        <w:rPr>
          <w:rFonts w:ascii="Calibri" w:eastAsia="Calibri" w:hAnsi="Calibri" w:cs="Calibri"/>
          <w:bCs w:val="0"/>
          <w:kern w:val="0"/>
          <w:sz w:val="24"/>
          <w:szCs w:val="24"/>
          <w:lang w:val="el-GR"/>
          <w14:ligatures w14:val="none"/>
        </w:rPr>
        <w:t>-</w:t>
      </w:r>
      <w:r w:rsidRPr="007A7BC6">
        <w:rPr>
          <w:rFonts w:ascii="Calibri" w:eastAsia="Calibri" w:hAnsi="Calibri" w:cs="Calibri"/>
          <w:bCs w:val="0"/>
          <w:kern w:val="0"/>
          <w:sz w:val="24"/>
          <w:szCs w:val="24"/>
          <w14:ligatures w14:val="none"/>
        </w:rPr>
        <w:t>U</w:t>
      </w:r>
      <w:r w:rsidRPr="007A7BC6">
        <w:rPr>
          <w:rFonts w:ascii="Calibri" w:eastAsia="Calibri" w:hAnsi="Calibri" w:cs="Calibri"/>
          <w:bCs w:val="0"/>
          <w:kern w:val="0"/>
          <w:sz w:val="24"/>
          <w:szCs w:val="24"/>
          <w:lang w:val="el-GR"/>
          <w14:ligatures w14:val="none"/>
        </w:rPr>
        <w:t>p (</w:t>
      </w:r>
      <w:r w:rsidRPr="007A7BC6">
        <w:rPr>
          <w:rFonts w:ascii="Calibri" w:eastAsia="Calibri" w:hAnsi="Calibri" w:cs="Calibri"/>
          <w:bCs w:val="0"/>
          <w:kern w:val="0"/>
          <w:sz w:val="24"/>
          <w:szCs w:val="24"/>
          <w14:ligatures w14:val="none"/>
        </w:rPr>
        <w:t>BU</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LRIC</w:t>
      </w:r>
      <w:r w:rsidRPr="007A7BC6">
        <w:rPr>
          <w:rFonts w:ascii="Calibri" w:eastAsia="Calibri" w:hAnsi="Calibri" w:cs="Calibri"/>
          <w:bCs w:val="0"/>
          <w:kern w:val="0"/>
          <w:sz w:val="24"/>
          <w:szCs w:val="24"/>
          <w:lang w:val="el-GR"/>
          <w14:ligatures w14:val="none"/>
        </w:rPr>
        <w:t>+ τεχνοοικονομικού μοντέλου υπολογισμού των τιμών των υπηρεσιών πρόσβασης χαλκού, FTTC &amp; FTTH και μισθωμένων γραμμών χονδρικής. Καθώς η διαβούλευση που διεξάγεται από την ΕΕΤΤ, αποτελεί το τελευταίο στάδιο πριν την οριστικοποίηση των παραμέτρων του μοντέλου και  των τιμών των χονδρικών υπηρεσιών, η σημασία της είναι ουσιώδης για την διαμόρφωση του επενδυτικού περιβάλλοντος για τις υπηρεσίες πρόσβασης στην Ελλάδα και την επίτευξη των στόχων της χώρας που υιοθετήθηκαν στη  Ψηφιακή Βίβλο 2030.</w:t>
      </w:r>
    </w:p>
    <w:p w14:paraId="27D8FC69" w14:textId="77777777" w:rsidR="007A7BC6" w:rsidRPr="007A7BC6" w:rsidRDefault="007A7BC6" w:rsidP="007A7BC6">
      <w:pPr>
        <w:widowControl w:val="0"/>
        <w:tabs>
          <w:tab w:val="left" w:pos="820"/>
        </w:tabs>
        <w:autoSpaceDE w:val="0"/>
        <w:autoSpaceDN w:val="0"/>
        <w:spacing w:before="120" w:line="360" w:lineRule="atLeast"/>
        <w:ind w:left="0" w:right="142"/>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Στόχος της Ευρωπαϊκής Ένωσης, όπως αποτυπώνεται στη </w:t>
      </w:r>
      <w:r w:rsidRPr="007A7BC6">
        <w:rPr>
          <w:rFonts w:ascii="Calibri" w:eastAsia="Calibri" w:hAnsi="Calibri" w:cs="Calibri"/>
          <w:b/>
          <w:kern w:val="0"/>
          <w:sz w:val="24"/>
          <w:szCs w:val="24"/>
          <w:lang w:val="el-GR"/>
          <w14:ligatures w14:val="none"/>
        </w:rPr>
        <w:t xml:space="preserve">Σύσταση 2013/466/ΕΕ </w:t>
      </w:r>
      <w:r w:rsidRPr="007A7BC6">
        <w:rPr>
          <w:rFonts w:ascii="Calibri" w:eastAsia="Calibri" w:hAnsi="Calibri" w:cs="Calibri"/>
          <w:bCs w:val="0"/>
          <w:kern w:val="0"/>
          <w:sz w:val="24"/>
          <w:szCs w:val="24"/>
          <w:lang w:val="el-GR"/>
          <w14:ligatures w14:val="none"/>
        </w:rPr>
        <w:t xml:space="preserve">(εφεξής Σύσταση), είναι η διαμόρφωση τιμών πρόσβασης που να εξασφαλίζουν την ομαλή μετάβαση από τα δίκτυα χαλκού στα δίκτυα </w:t>
      </w:r>
      <w:r w:rsidRPr="007A7BC6">
        <w:rPr>
          <w:rFonts w:ascii="Calibri" w:eastAsia="Calibri" w:hAnsi="Calibri" w:cs="Calibri"/>
          <w:b/>
          <w:kern w:val="0"/>
          <w:sz w:val="24"/>
          <w:szCs w:val="24"/>
          <w:lang w:val="el-GR"/>
          <w14:ligatures w14:val="none"/>
        </w:rPr>
        <w:t>FTTH</w:t>
      </w:r>
      <w:r w:rsidRPr="007A7BC6">
        <w:rPr>
          <w:rFonts w:ascii="Calibri" w:eastAsia="Calibri" w:hAnsi="Calibri" w:cs="Calibri"/>
          <w:bCs w:val="0"/>
          <w:kern w:val="0"/>
          <w:sz w:val="24"/>
          <w:szCs w:val="24"/>
          <w:lang w:val="el-GR"/>
          <w14:ligatures w14:val="none"/>
        </w:rPr>
        <w:t xml:space="preserve"> και παράλληλα να ενθαρρύνουν τις αναγκαίες επενδύσεις. Στο πλαίσιο αυτό, το μοντέλο </w:t>
      </w:r>
      <w:r w:rsidRPr="007A7BC6">
        <w:rPr>
          <w:rFonts w:ascii="Calibri" w:eastAsia="Calibri" w:hAnsi="Calibri" w:cs="Calibri"/>
          <w:b/>
          <w:kern w:val="0"/>
          <w:sz w:val="24"/>
          <w:szCs w:val="24"/>
          <w:lang w:val="el-GR"/>
          <w14:ligatures w14:val="none"/>
        </w:rPr>
        <w:t>BU-LRIC+</w:t>
      </w:r>
      <w:r w:rsidRPr="007A7BC6">
        <w:rPr>
          <w:rFonts w:ascii="Calibri" w:eastAsia="Calibri" w:hAnsi="Calibri" w:cs="Calibri"/>
          <w:bCs w:val="0"/>
          <w:kern w:val="0"/>
          <w:sz w:val="24"/>
          <w:szCs w:val="24"/>
          <w:lang w:val="el-GR"/>
          <w14:ligatures w14:val="none"/>
        </w:rPr>
        <w:t xml:space="preserve"> αποτελεί το κατάλληλο εργαλείο κοστολόγησης για τον καθορισμό των τιμών πρόσβασης του αποδοτικού </w:t>
      </w:r>
      <w:proofErr w:type="spellStart"/>
      <w:r w:rsidRPr="007A7BC6">
        <w:rPr>
          <w:rFonts w:ascii="Calibri" w:eastAsia="Calibri" w:hAnsi="Calibri" w:cs="Calibri"/>
          <w:bCs w:val="0"/>
          <w:kern w:val="0"/>
          <w:sz w:val="24"/>
          <w:szCs w:val="24"/>
          <w:lang w:val="el-GR"/>
          <w14:ligatures w14:val="none"/>
        </w:rPr>
        <w:t>παρόχου</w:t>
      </w:r>
      <w:proofErr w:type="spellEnd"/>
      <w:r w:rsidRPr="007A7BC6">
        <w:rPr>
          <w:rFonts w:ascii="Calibri" w:eastAsia="Calibri" w:hAnsi="Calibri" w:cs="Calibri"/>
          <w:bCs w:val="0"/>
          <w:kern w:val="0"/>
          <w:sz w:val="24"/>
          <w:szCs w:val="24"/>
          <w:lang w:val="el-GR"/>
          <w14:ligatures w14:val="none"/>
        </w:rPr>
        <w:t xml:space="preserve"> και πρέπει να παρέχει τα σωστά κίνητρα για τη μετάβαση σε δίκτυα νέας γενιάς, ώστε να «αντικατοπτρίζουν το κόστος ενός αποδοτικού </w:t>
      </w:r>
      <w:proofErr w:type="spellStart"/>
      <w:r w:rsidRPr="007A7BC6">
        <w:rPr>
          <w:rFonts w:ascii="Calibri" w:eastAsia="Calibri" w:hAnsi="Calibri" w:cs="Calibri"/>
          <w:bCs w:val="0"/>
          <w:kern w:val="0"/>
          <w:sz w:val="24"/>
          <w:szCs w:val="24"/>
          <w:lang w:val="el-GR"/>
          <w14:ligatures w14:val="none"/>
        </w:rPr>
        <w:t>παρόχου</w:t>
      </w:r>
      <w:proofErr w:type="spellEnd"/>
      <w:r w:rsidRPr="007A7BC6">
        <w:rPr>
          <w:rFonts w:ascii="Calibri" w:eastAsia="Calibri" w:hAnsi="Calibri" w:cs="Calibri"/>
          <w:bCs w:val="0"/>
          <w:kern w:val="0"/>
          <w:sz w:val="24"/>
          <w:szCs w:val="24"/>
          <w:lang w:val="el-GR"/>
          <w14:ligatures w14:val="none"/>
        </w:rPr>
        <w:t xml:space="preserve"> και να αποτρέπουν την τεχνητή διατήρηση μη αποδοτικών τεχνολογιών» (παρ. 27). </w:t>
      </w:r>
    </w:p>
    <w:p w14:paraId="4A57FE51" w14:textId="77777777" w:rsidR="007A7BC6" w:rsidRPr="007A7BC6" w:rsidRDefault="007A7BC6" w:rsidP="007A7BC6">
      <w:pPr>
        <w:widowControl w:val="0"/>
        <w:tabs>
          <w:tab w:val="left" w:pos="820"/>
        </w:tabs>
        <w:autoSpaceDE w:val="0"/>
        <w:autoSpaceDN w:val="0"/>
        <w:spacing w:before="120" w:line="360" w:lineRule="atLeast"/>
        <w:ind w:left="0" w:right="142"/>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lastRenderedPageBreak/>
        <w:t>Η ίδια Σύσταση επισημαίνει ότι «</w:t>
      </w:r>
      <w:r w:rsidRPr="007A7BC6">
        <w:rPr>
          <w:rFonts w:ascii="Calibri" w:eastAsia="Calibri" w:hAnsi="Calibri" w:cs="Calibri"/>
          <w:bCs w:val="0"/>
          <w:i/>
          <w:iCs/>
          <w:kern w:val="0"/>
          <w:sz w:val="24"/>
          <w:szCs w:val="24"/>
          <w:lang w:val="el-GR"/>
          <w14:ligatures w14:val="none"/>
        </w:rPr>
        <w:t>η ρύθμιση των τιμών πρόσβασης στο δίκτυο χαλκού δεν πρέπει να δημιουργεί αντικίνητρα για την ανάπτυξη δικτύων νέας γενιάς</w:t>
      </w:r>
      <w:r w:rsidRPr="007A7BC6">
        <w:rPr>
          <w:rFonts w:ascii="Calibri" w:eastAsia="Calibri" w:hAnsi="Calibri" w:cs="Calibri"/>
          <w:bCs w:val="0"/>
          <w:kern w:val="0"/>
          <w:sz w:val="24"/>
          <w:szCs w:val="24"/>
          <w:lang w:val="el-GR"/>
          <w14:ligatures w14:val="none"/>
        </w:rPr>
        <w:t>» (παρ. 29), υπογραμμίζοντας ότι οι τιμές πρέπει να συμβάλλουν στη μετάβαση προς δίκτυα FTTH. Όσον αφορά το FTTH, οι τιμές πρόσβασης πρέπει να καθορίζονται σε επίπεδα που να επιτρέπουν την «</w:t>
      </w:r>
      <w:r w:rsidRPr="007A7BC6">
        <w:rPr>
          <w:rFonts w:ascii="Calibri" w:eastAsia="Calibri" w:hAnsi="Calibri" w:cs="Calibri"/>
          <w:bCs w:val="0"/>
          <w:i/>
          <w:iCs/>
          <w:kern w:val="0"/>
          <w:sz w:val="24"/>
          <w:szCs w:val="24"/>
          <w:lang w:val="el-GR"/>
          <w14:ligatures w14:val="none"/>
        </w:rPr>
        <w:t>ανάκτηση και την εύλογη απόδοση των επενδύσεων, ώστε να ενθαρρύνονται οι νέες επενδύσεις και η είσοδος στην αγορά</w:t>
      </w:r>
      <w:r w:rsidRPr="007A7BC6">
        <w:rPr>
          <w:rFonts w:ascii="Calibri" w:eastAsia="Calibri" w:hAnsi="Calibri" w:cs="Calibri"/>
          <w:bCs w:val="0"/>
          <w:kern w:val="0"/>
          <w:sz w:val="24"/>
          <w:szCs w:val="24"/>
          <w:lang w:val="el-GR"/>
          <w14:ligatures w14:val="none"/>
        </w:rPr>
        <w:t xml:space="preserve">» (παρ. 11 και αιτιολογική σκέψη 30). Με αυτόν τον τρόπο εξυπηρετείται ο διττός στόχος της Ένωσης: αφενός η διασφάλιση του ανταγωνισμού μέσω αποδοτικής κοστολόγησης και αφετέρου η επίσπευση της μετάβασης σε δίκτυα υψηλής χωρητικότητας, σε συμφωνία με τους ψηφιακούς στόχους της ΕΕ για το 2030. Η αξιοπιστία και η αποτελεσματικότητα ενός μοντέλου BU LRIC+ συνδέεται με την ικανότητά του να αντανακλά επαρκώς τις συνθήκες της αγοράς και τις δυναμικές εξέλιξής της. </w:t>
      </w:r>
    </w:p>
    <w:p w14:paraId="2CC44FC8" w14:textId="77777777" w:rsidR="007A7BC6" w:rsidRPr="007A7BC6" w:rsidRDefault="007A7BC6" w:rsidP="007A7BC6">
      <w:pPr>
        <w:widowControl w:val="0"/>
        <w:tabs>
          <w:tab w:val="left" w:pos="820"/>
        </w:tabs>
        <w:autoSpaceDE w:val="0"/>
        <w:autoSpaceDN w:val="0"/>
        <w:spacing w:before="120" w:line="360" w:lineRule="atLeast"/>
        <w:ind w:left="0" w:right="142"/>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Για την επιτυχία των ρυθμιστικών αυτών στόχων, που είναι και οι στόχοι της βιομηχανικής πολιτικής της χώρας για τον κλάδο των τηλεπικοινωνιών, καθίσταται αναγκαία η αναθεώρηση συγκεκριμένων παραδοχών, οι οποίες στο υπό διαβούλευση μοντέλο δεν αποδίδουν ορθά την κατάσταση του ανταγωνισμού και τη δυναμική της Αγοράς και εισάγουν στρεβλώσεις στο  σχεδιαστικό μοντέλο ανάπτυξης των δικτύων πρόσβασης τόσο του χαλκού όσο και του </w:t>
      </w:r>
      <w:r w:rsidRPr="007A7BC6">
        <w:rPr>
          <w:rFonts w:ascii="Calibri" w:eastAsia="Calibri" w:hAnsi="Calibri" w:cs="Calibri"/>
          <w:bCs w:val="0"/>
          <w:kern w:val="0"/>
          <w:sz w:val="24"/>
          <w:szCs w:val="24"/>
          <w14:ligatures w14:val="none"/>
        </w:rPr>
        <w:t>FTTH</w:t>
      </w:r>
      <w:r w:rsidRPr="007A7BC6">
        <w:rPr>
          <w:rFonts w:ascii="Calibri" w:eastAsia="Calibri" w:hAnsi="Calibri" w:cs="Calibri"/>
          <w:bCs w:val="0"/>
          <w:kern w:val="0"/>
          <w:sz w:val="24"/>
          <w:szCs w:val="24"/>
          <w:lang w:val="el-GR"/>
          <w14:ligatures w14:val="none"/>
        </w:rPr>
        <w:t>, με συνέπεια να μην παρέχονται τα κατάλληλα επενδυτικά κίνητρα στην αγορά.</w:t>
      </w:r>
    </w:p>
    <w:p w14:paraId="023563C8"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Στο πλαίσιο αυτό, η εταιρεία μας υποβάλλει σχόλια τα οποία αποσκοπούν στη βελτίωση του υπό διαβούλευση μοντέλου προτείνοντας διορθώσεις σε μεθοδολογικές ασυνέπειες και παραδοχές που σχετίζονται με την αποτύπωση των δικτύων, τις παραδοχές κοστολόγησης και τη λειτουργικότητα του. Οι προτάσεις μας είναι σύμφωνες με τις αρχές της Σύστασης και αποσκοπούν στο να συμβάλουν στην ευθυγράμμιση του υπό διαβούλευση μοντέλου με τους στόχους της Ευρωπαϊκής πολιτικής, στην επίτευξη των ρυθμιστικών στόχων τελικά στη δημιουργία κατάλληλων επενδυτικών κινήτρων για την Ελληνική αγορά. Επιπλέον οι θέσεις μας συνάδουν με τις ευρωπαϊκές τάσεις αναφορικά με την εξέλιξη των τιμών των υπηρεσιών πρόσβασης, οι οποίες καταγράφουν σταθερή αύξηση των τιμών για τις υπηρεσίες </w:t>
      </w:r>
      <w:proofErr w:type="spellStart"/>
      <w:r w:rsidRPr="007A7BC6">
        <w:rPr>
          <w:rFonts w:ascii="Calibri" w:eastAsia="Calibri" w:hAnsi="Calibri" w:cs="Calibri"/>
          <w:bCs w:val="0"/>
          <w:kern w:val="0"/>
          <w:sz w:val="24"/>
          <w:szCs w:val="24"/>
          <w:lang w:val="el-GR"/>
          <w14:ligatures w14:val="none"/>
        </w:rPr>
        <w:t>αδεσμοποίητου</w:t>
      </w:r>
      <w:proofErr w:type="spellEnd"/>
      <w:r w:rsidRPr="007A7BC6">
        <w:rPr>
          <w:rFonts w:ascii="Calibri" w:eastAsia="Calibri" w:hAnsi="Calibri" w:cs="Calibri"/>
          <w:bCs w:val="0"/>
          <w:kern w:val="0"/>
          <w:sz w:val="24"/>
          <w:szCs w:val="24"/>
          <w:lang w:val="el-GR"/>
          <w14:ligatures w14:val="none"/>
        </w:rPr>
        <w:t xml:space="preserve"> τοπικού βρόχου (</w:t>
      </w:r>
      <w:r w:rsidRPr="007A7BC6">
        <w:rPr>
          <w:rFonts w:ascii="Calibri" w:eastAsia="Calibri" w:hAnsi="Calibri" w:cs="Calibri"/>
          <w:bCs w:val="0"/>
          <w:kern w:val="0"/>
          <w:sz w:val="24"/>
          <w:szCs w:val="24"/>
          <w14:ligatures w14:val="none"/>
        </w:rPr>
        <w:t>LLU</w:t>
      </w:r>
      <w:r w:rsidRPr="007A7BC6">
        <w:rPr>
          <w:rFonts w:ascii="Calibri" w:eastAsia="Calibri" w:hAnsi="Calibri" w:cs="Calibri"/>
          <w:bCs w:val="0"/>
          <w:kern w:val="0"/>
          <w:sz w:val="24"/>
          <w:szCs w:val="24"/>
          <w:lang w:val="el-GR"/>
          <w14:ligatures w14:val="none"/>
        </w:rPr>
        <w:t xml:space="preserve">) ειδικά τα τελευταία χρόνια, σημαντικά υψηλότερους λόγους </w:t>
      </w:r>
      <w:proofErr w:type="spellStart"/>
      <w:r w:rsidRPr="007A7BC6">
        <w:rPr>
          <w:rFonts w:ascii="Calibri" w:eastAsia="Calibri" w:hAnsi="Calibri" w:cs="Calibri"/>
          <w:bCs w:val="0"/>
          <w:kern w:val="0"/>
          <w:sz w:val="24"/>
          <w:szCs w:val="24"/>
          <w:lang w:val="el-GR"/>
          <w14:ligatures w14:val="none"/>
        </w:rPr>
        <w:t>υποβρόχου</w:t>
      </w:r>
      <w:proofErr w:type="spellEnd"/>
      <w:r w:rsidRPr="007A7BC6">
        <w:rPr>
          <w:rFonts w:ascii="Calibri" w:eastAsia="Calibri" w:hAnsi="Calibri" w:cs="Calibri"/>
          <w:bCs w:val="0"/>
          <w:kern w:val="0"/>
          <w:sz w:val="24"/>
          <w:szCs w:val="24"/>
          <w:lang w:val="el-GR"/>
          <w14:ligatures w14:val="none"/>
        </w:rPr>
        <w:t xml:space="preserve">/βρόχου καθώς και υψηλότερες τιμές υπηρεσιών </w:t>
      </w:r>
      <w:r w:rsidRPr="007A7BC6">
        <w:rPr>
          <w:rFonts w:ascii="Calibri" w:eastAsia="Calibri" w:hAnsi="Calibri" w:cs="Calibri"/>
          <w:bCs w:val="0"/>
          <w:kern w:val="0"/>
          <w:sz w:val="24"/>
          <w:szCs w:val="24"/>
          <w14:ligatures w14:val="none"/>
        </w:rPr>
        <w:t>FTTH</w:t>
      </w:r>
      <w:r w:rsidRPr="007A7BC6">
        <w:rPr>
          <w:rFonts w:ascii="Calibri" w:eastAsia="Calibri" w:hAnsi="Calibri" w:cs="Calibri"/>
          <w:bCs w:val="0"/>
          <w:kern w:val="0"/>
          <w:sz w:val="24"/>
          <w:szCs w:val="24"/>
          <w:lang w:val="el-GR"/>
          <w14:ligatures w14:val="none"/>
        </w:rPr>
        <w:t xml:space="preserve"> (αναλυτική παρουσίαση στο Παράρτημα Ι).</w:t>
      </w:r>
    </w:p>
    <w:p w14:paraId="5541A501"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Συνοπτικά, τα κύρια ζητήματα που αναδείχθηκαν από την αξιολόγησή μας είναι τα ακόλουθα:</w:t>
      </w:r>
    </w:p>
    <w:p w14:paraId="5263FDCB" w14:textId="25384D92" w:rsidR="007A7BC6" w:rsidRPr="007A7BC6" w:rsidRDefault="007A7BC6" w:rsidP="00034FBB">
      <w:pPr>
        <w:widowControl w:val="0"/>
        <w:numPr>
          <w:ilvl w:val="0"/>
          <w:numId w:val="12"/>
        </w:numPr>
        <w:autoSpaceDE w:val="0"/>
        <w:autoSpaceDN w:val="0"/>
        <w:spacing w:after="240" w:line="360" w:lineRule="atLeast"/>
        <w:ind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u w:val="single"/>
          <w:lang w:val="el-GR"/>
          <w14:ligatures w14:val="none"/>
        </w:rPr>
        <w:t>Μεγαλύτερη μείωση των συνδρομητών σταθερής από τις προβλέψεις του μοντέλου</w:t>
      </w:r>
      <w:r w:rsidRPr="007A7BC6">
        <w:rPr>
          <w:rFonts w:ascii="Calibri" w:eastAsia="Calibri" w:hAnsi="Calibri" w:cs="Calibri"/>
          <w:bCs w:val="0"/>
          <w:kern w:val="0"/>
          <w:sz w:val="24"/>
          <w:szCs w:val="24"/>
          <w:lang w:val="el-GR"/>
          <w14:ligatures w14:val="none"/>
        </w:rPr>
        <w:t xml:space="preserve"> λόγω της μετάβασης σε άλλες ασύρματες λύσεις μέσω νέων προγραμμάτων </w:t>
      </w:r>
      <w:proofErr w:type="spellStart"/>
      <w:r w:rsidRPr="007A7BC6">
        <w:rPr>
          <w:rFonts w:ascii="Calibri" w:eastAsia="Calibri" w:hAnsi="Calibri" w:cs="Calibri"/>
          <w:bCs w:val="0"/>
          <w:kern w:val="0"/>
          <w:sz w:val="24"/>
          <w:szCs w:val="24"/>
          <w:lang w:val="el-GR"/>
          <w14:ligatures w14:val="none"/>
        </w:rPr>
        <w:t>Fixed</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Wireless</w:t>
      </w:r>
      <w:proofErr w:type="spellEnd"/>
      <w:r w:rsidRPr="007A7BC6">
        <w:rPr>
          <w:rFonts w:ascii="Calibri" w:eastAsia="Calibri" w:hAnsi="Calibri" w:cs="Calibri"/>
          <w:bCs w:val="0"/>
          <w:kern w:val="0"/>
          <w:sz w:val="24"/>
          <w:szCs w:val="24"/>
          <w:lang w:val="el-GR"/>
          <w14:ligatures w14:val="none"/>
        </w:rPr>
        <w:t xml:space="preserve"> Access (FWA) </w:t>
      </w:r>
      <w:r w:rsidRPr="007A7BC6">
        <w:rPr>
          <w:rFonts w:ascii="Calibri" w:eastAsia="Calibri" w:hAnsi="Calibri" w:cs="Calibri"/>
          <w:bCs w:val="0"/>
          <w:kern w:val="0"/>
          <w:sz w:val="24"/>
          <w:szCs w:val="24"/>
          <w:lang w:val="el-GR"/>
          <w14:ligatures w14:val="none"/>
        </w:rPr>
        <w:lastRenderedPageBreak/>
        <w:t xml:space="preserve">και δορυφορικών </w:t>
      </w:r>
      <w:proofErr w:type="spellStart"/>
      <w:r w:rsidRPr="007A7BC6">
        <w:rPr>
          <w:rFonts w:ascii="Calibri" w:eastAsia="Calibri" w:hAnsi="Calibri" w:cs="Calibri"/>
          <w:bCs w:val="0"/>
          <w:kern w:val="0"/>
          <w:sz w:val="24"/>
          <w:szCs w:val="24"/>
          <w:lang w:val="el-GR"/>
          <w14:ligatures w14:val="none"/>
        </w:rPr>
        <w:t>Satellite</w:t>
      </w:r>
      <w:proofErr w:type="spellEnd"/>
      <w:r w:rsidRPr="007A7BC6">
        <w:rPr>
          <w:rFonts w:ascii="Calibri" w:eastAsia="Calibri" w:hAnsi="Calibri" w:cs="Calibri"/>
          <w:bCs w:val="0"/>
          <w:kern w:val="0"/>
          <w:sz w:val="24"/>
          <w:szCs w:val="24"/>
          <w:lang w:val="el-GR"/>
          <w14:ligatures w14:val="none"/>
        </w:rPr>
        <w:t xml:space="preserve"> (κυρίως </w:t>
      </w:r>
      <w:proofErr w:type="spellStart"/>
      <w:r w:rsidRPr="007A7BC6">
        <w:rPr>
          <w:rFonts w:ascii="Calibri" w:eastAsia="Calibri" w:hAnsi="Calibri" w:cs="Calibri"/>
          <w:bCs w:val="0"/>
          <w:kern w:val="0"/>
          <w:sz w:val="24"/>
          <w:szCs w:val="24"/>
          <w:lang w:val="el-GR"/>
          <w14:ligatures w14:val="none"/>
        </w:rPr>
        <w:t>Starlink</w:t>
      </w:r>
      <w:proofErr w:type="spellEnd"/>
      <w:r w:rsidRPr="007A7BC6">
        <w:rPr>
          <w:rFonts w:ascii="Calibri" w:eastAsia="Calibri" w:hAnsi="Calibri" w:cs="Calibri"/>
          <w:bCs w:val="0"/>
          <w:kern w:val="0"/>
          <w:sz w:val="24"/>
          <w:szCs w:val="24"/>
          <w:lang w:val="el-GR"/>
          <w14:ligatures w14:val="none"/>
        </w:rPr>
        <w:t xml:space="preserve">) που αυξάνονται ταχύτατα. Η εκτίμηση του ΟΤΕ για το 2030 είναι </w:t>
      </w:r>
      <w:r w:rsidR="005208A7">
        <w:rPr>
          <w:rFonts w:ascii="Calibri" w:eastAsia="Calibri" w:hAnsi="Calibri" w:cs="Calibri"/>
          <w:bCs w:val="0"/>
          <w:kern w:val="0"/>
          <w:sz w:val="24"/>
          <w:szCs w:val="24"/>
          <w:lang w:val="el-GR"/>
          <w14:ligatures w14:val="none"/>
        </w:rPr>
        <w:sym w:font="Wingdings" w:char="F022"/>
      </w:r>
      <w:r w:rsidRPr="007A7BC6">
        <w:rPr>
          <w:rFonts w:ascii="Calibri" w:eastAsia="Calibri" w:hAnsi="Calibri" w:cs="Calibri"/>
          <w:bCs w:val="0"/>
          <w:kern w:val="0"/>
          <w:sz w:val="24"/>
          <w:szCs w:val="24"/>
          <w:lang w:val="el-GR"/>
          <w14:ligatures w14:val="none"/>
        </w:rPr>
        <w:t xml:space="preserve"> συνδρομητές σταθερής θα έχουν μεταβεί σε λύσεις </w:t>
      </w:r>
      <w:proofErr w:type="spellStart"/>
      <w:r w:rsidRPr="007A7BC6">
        <w:rPr>
          <w:rFonts w:ascii="Calibri" w:eastAsia="Calibri" w:hAnsi="Calibri" w:cs="Calibri"/>
          <w:bCs w:val="0"/>
          <w:kern w:val="0"/>
          <w:sz w:val="24"/>
          <w:szCs w:val="24"/>
          <w:lang w:val="el-GR"/>
          <w14:ligatures w14:val="none"/>
        </w:rPr>
        <w:t>FWA+Satellite</w:t>
      </w:r>
      <w:proofErr w:type="spellEnd"/>
      <w:r w:rsidRPr="007A7BC6">
        <w:rPr>
          <w:rFonts w:ascii="Calibri" w:eastAsia="Calibri" w:hAnsi="Calibri" w:cs="Calibri"/>
          <w:bCs w:val="0"/>
          <w:kern w:val="0"/>
          <w:sz w:val="24"/>
          <w:szCs w:val="24"/>
          <w:lang w:val="el-GR"/>
          <w14:ligatures w14:val="none"/>
        </w:rPr>
        <w:t xml:space="preserve"> σε σχέση με τις προβλέψεις τις ΕΕΤΤ που ανέρχονται σε 480 χιλ. για τα έτος 2030.</w:t>
      </w:r>
    </w:p>
    <w:p w14:paraId="610C2AD6" w14:textId="06CBF86B" w:rsidR="007A7BC6" w:rsidRPr="00441F4A" w:rsidRDefault="007A7BC6" w:rsidP="00034FBB">
      <w:pPr>
        <w:widowControl w:val="0"/>
        <w:numPr>
          <w:ilvl w:val="0"/>
          <w:numId w:val="12"/>
        </w:numPr>
        <w:autoSpaceDE w:val="0"/>
        <w:autoSpaceDN w:val="0"/>
        <w:spacing w:after="240" w:line="360" w:lineRule="atLeast"/>
        <w:ind w:right="0"/>
        <w:jc w:val="both"/>
        <w:rPr>
          <w:rFonts w:ascii="Calibri" w:eastAsia="Calibri" w:hAnsi="Calibri" w:cs="Calibri"/>
          <w:bCs w:val="0"/>
          <w:kern w:val="0"/>
          <w:sz w:val="24"/>
          <w:szCs w:val="24"/>
          <w:lang w:val="el-GR"/>
          <w14:ligatures w14:val="none"/>
        </w:rPr>
      </w:pPr>
      <w:r w:rsidRPr="00441F4A">
        <w:rPr>
          <w:rFonts w:ascii="Calibri" w:eastAsia="Calibri" w:hAnsi="Calibri" w:cs="Calibri"/>
          <w:bCs w:val="0"/>
          <w:kern w:val="0"/>
          <w:sz w:val="24"/>
          <w:szCs w:val="24"/>
          <w:u w:val="single"/>
          <w:lang w:val="el-GR"/>
          <w14:ligatures w14:val="none"/>
        </w:rPr>
        <w:t xml:space="preserve">Ταχύτερη μείωση του μεριδίου του αποδοτικού </w:t>
      </w:r>
      <w:proofErr w:type="spellStart"/>
      <w:r w:rsidRPr="00441F4A">
        <w:rPr>
          <w:rFonts w:ascii="Calibri" w:eastAsia="Calibri" w:hAnsi="Calibri" w:cs="Calibri"/>
          <w:bCs w:val="0"/>
          <w:kern w:val="0"/>
          <w:sz w:val="24"/>
          <w:szCs w:val="24"/>
          <w:u w:val="single"/>
          <w:lang w:val="el-GR"/>
          <w14:ligatures w14:val="none"/>
        </w:rPr>
        <w:t>παρόχου</w:t>
      </w:r>
      <w:proofErr w:type="spellEnd"/>
      <w:r w:rsidRPr="00441F4A">
        <w:rPr>
          <w:rFonts w:ascii="Calibri" w:eastAsia="Calibri" w:hAnsi="Calibri" w:cs="Calibri"/>
          <w:bCs w:val="0"/>
          <w:kern w:val="0"/>
          <w:sz w:val="24"/>
          <w:szCs w:val="24"/>
          <w:u w:val="single"/>
          <w:lang w:val="el-GR"/>
          <w14:ligatures w14:val="none"/>
        </w:rPr>
        <w:t xml:space="preserve"> </w:t>
      </w:r>
      <w:r w:rsidRPr="00441F4A">
        <w:rPr>
          <w:rFonts w:ascii="Calibri" w:eastAsia="Calibri" w:hAnsi="Calibri" w:cs="Calibri"/>
          <w:bCs w:val="0"/>
          <w:kern w:val="0"/>
          <w:sz w:val="24"/>
          <w:szCs w:val="24"/>
          <w:u w:val="single"/>
          <w14:ligatures w14:val="none"/>
        </w:rPr>
        <w:t>FTTH</w:t>
      </w:r>
      <w:r w:rsidRPr="00441F4A">
        <w:rPr>
          <w:rFonts w:ascii="Calibri" w:eastAsia="Calibri" w:hAnsi="Calibri" w:cs="Calibri"/>
          <w:bCs w:val="0"/>
          <w:kern w:val="0"/>
          <w:sz w:val="24"/>
          <w:szCs w:val="24"/>
          <w:lang w:val="el-GR"/>
          <w14:ligatures w14:val="none"/>
        </w:rPr>
        <w:t xml:space="preserve"> λόγω των ποσοστών </w:t>
      </w:r>
      <w:r w:rsidRPr="00441F4A">
        <w:rPr>
          <w:rFonts w:ascii="Calibri" w:eastAsia="Calibri" w:hAnsi="Calibri" w:cs="Calibri"/>
          <w:bCs w:val="0"/>
          <w:kern w:val="0"/>
          <w:sz w:val="24"/>
          <w:szCs w:val="24"/>
          <w14:ligatures w14:val="none"/>
        </w:rPr>
        <w:t>take</w:t>
      </w:r>
      <w:r w:rsidRPr="00441F4A">
        <w:rPr>
          <w:rFonts w:ascii="Calibri" w:eastAsia="Calibri" w:hAnsi="Calibri" w:cs="Calibri"/>
          <w:bCs w:val="0"/>
          <w:kern w:val="0"/>
          <w:sz w:val="24"/>
          <w:szCs w:val="24"/>
          <w:lang w:val="el-GR"/>
          <w14:ligatures w14:val="none"/>
        </w:rPr>
        <w:t xml:space="preserve"> </w:t>
      </w:r>
      <w:r w:rsidRPr="00441F4A">
        <w:rPr>
          <w:rFonts w:ascii="Calibri" w:eastAsia="Calibri" w:hAnsi="Calibri" w:cs="Calibri"/>
          <w:bCs w:val="0"/>
          <w:kern w:val="0"/>
          <w:sz w:val="24"/>
          <w:szCs w:val="24"/>
          <w14:ligatures w14:val="none"/>
        </w:rPr>
        <w:t>up</w:t>
      </w:r>
      <w:r w:rsidRPr="00441F4A">
        <w:rPr>
          <w:rFonts w:ascii="Calibri" w:eastAsia="Calibri" w:hAnsi="Calibri" w:cs="Calibri"/>
          <w:bCs w:val="0"/>
          <w:kern w:val="0"/>
          <w:sz w:val="24"/>
          <w:szCs w:val="24"/>
          <w:lang w:val="el-GR"/>
          <w14:ligatures w14:val="none"/>
        </w:rPr>
        <w:t xml:space="preserve"> των υπηρεσιών </w:t>
      </w:r>
      <w:r w:rsidRPr="00441F4A">
        <w:rPr>
          <w:rFonts w:ascii="Calibri" w:eastAsia="Calibri" w:hAnsi="Calibri" w:cs="Calibri"/>
          <w:bCs w:val="0"/>
          <w:kern w:val="0"/>
          <w:sz w:val="24"/>
          <w:szCs w:val="24"/>
          <w14:ligatures w14:val="none"/>
        </w:rPr>
        <w:t>FTTH</w:t>
      </w:r>
      <w:r w:rsidRPr="00441F4A">
        <w:rPr>
          <w:rFonts w:ascii="Calibri" w:eastAsia="Calibri" w:hAnsi="Calibri" w:cs="Calibri"/>
          <w:bCs w:val="0"/>
          <w:kern w:val="0"/>
          <w:sz w:val="24"/>
          <w:szCs w:val="24"/>
          <w:lang w:val="el-GR"/>
          <w14:ligatures w14:val="none"/>
        </w:rPr>
        <w:t xml:space="preserve"> των </w:t>
      </w:r>
      <w:proofErr w:type="spellStart"/>
      <w:r w:rsidRPr="00441F4A">
        <w:rPr>
          <w:rFonts w:ascii="Calibri" w:eastAsia="Calibri" w:hAnsi="Calibri" w:cs="Calibri"/>
          <w:bCs w:val="0"/>
          <w:kern w:val="0"/>
          <w:sz w:val="24"/>
          <w:szCs w:val="24"/>
          <w:lang w:val="el-GR"/>
          <w14:ligatures w14:val="none"/>
        </w:rPr>
        <w:t>παρόχων</w:t>
      </w:r>
      <w:proofErr w:type="spellEnd"/>
      <w:r w:rsidRPr="00441F4A">
        <w:rPr>
          <w:rFonts w:ascii="Calibri" w:eastAsia="Calibri" w:hAnsi="Calibri" w:cs="Calibri"/>
          <w:bCs w:val="0"/>
          <w:kern w:val="0"/>
          <w:sz w:val="24"/>
          <w:szCs w:val="24"/>
          <w:lang w:val="el-GR"/>
          <w14:ligatures w14:val="none"/>
        </w:rPr>
        <w:t xml:space="preserve"> που ήδη δραστηριοποιούνται ως </w:t>
      </w:r>
      <w:r w:rsidRPr="00441F4A">
        <w:rPr>
          <w:rFonts w:ascii="Calibri" w:eastAsia="Calibri" w:hAnsi="Calibri" w:cs="Calibri"/>
          <w:bCs w:val="0"/>
          <w:kern w:val="0"/>
          <w:sz w:val="24"/>
          <w:szCs w:val="24"/>
          <w14:ligatures w14:val="none"/>
        </w:rPr>
        <w:t>overbuilders</w:t>
      </w:r>
      <w:r w:rsidRPr="00441F4A">
        <w:rPr>
          <w:rFonts w:ascii="Calibri" w:eastAsia="Calibri" w:hAnsi="Calibri" w:cs="Calibri"/>
          <w:bCs w:val="0"/>
          <w:kern w:val="0"/>
          <w:sz w:val="24"/>
          <w:szCs w:val="24"/>
          <w:lang w:val="el-GR"/>
          <w14:ligatures w14:val="none"/>
        </w:rPr>
        <w:t xml:space="preserve"> στην  αγορά, όσο και των εκτιμήσεων βάσει ανακοινωμένων επενδυτικών πλάνων των </w:t>
      </w:r>
      <w:r w:rsidRPr="00441F4A">
        <w:rPr>
          <w:rFonts w:ascii="Calibri" w:eastAsia="Calibri" w:hAnsi="Calibri" w:cs="Calibri"/>
          <w:bCs w:val="0"/>
          <w:kern w:val="0"/>
          <w:sz w:val="24"/>
          <w:szCs w:val="24"/>
          <w14:ligatures w14:val="none"/>
        </w:rPr>
        <w:t>overbuilders</w:t>
      </w:r>
      <w:r w:rsidRPr="00441F4A">
        <w:rPr>
          <w:rFonts w:ascii="Calibri" w:eastAsia="Calibri" w:hAnsi="Calibri" w:cs="Calibri"/>
          <w:bCs w:val="0"/>
          <w:kern w:val="0"/>
          <w:sz w:val="24"/>
          <w:szCs w:val="24"/>
          <w:lang w:val="el-GR"/>
          <w14:ligatures w14:val="none"/>
        </w:rPr>
        <w:t xml:space="preserve"> για τα επόμενα έτη. </w:t>
      </w:r>
      <w:r w:rsidR="00B41C9C" w:rsidRPr="00441F4A">
        <w:rPr>
          <w:rFonts w:ascii="Calibri" w:eastAsia="Calibri" w:hAnsi="Calibri" w:cs="Calibri"/>
          <w:bCs w:val="0"/>
          <w:kern w:val="0"/>
          <w:sz w:val="24"/>
          <w:szCs w:val="24"/>
          <w:lang w:val="el-GR"/>
          <w14:ligatures w14:val="none"/>
        </w:rPr>
        <w:sym w:font="Wingdings" w:char="F022"/>
      </w:r>
      <w:r w:rsidR="00B41C9C" w:rsidRPr="00441F4A">
        <w:rPr>
          <w:rFonts w:ascii="Calibri" w:eastAsia="Calibri" w:hAnsi="Calibri" w:cs="Calibri"/>
          <w:bCs w:val="0"/>
          <w:kern w:val="0"/>
          <w:sz w:val="24"/>
          <w:szCs w:val="24"/>
          <w:lang w:val="el-GR"/>
          <w14:ligatures w14:val="none"/>
        </w:rPr>
        <w:t xml:space="preserve"> </w:t>
      </w:r>
      <w:r w:rsidRPr="00441F4A">
        <w:rPr>
          <w:rFonts w:ascii="Calibri" w:eastAsia="Calibri" w:hAnsi="Calibri" w:cs="Calibri"/>
          <w:bCs w:val="0"/>
          <w:kern w:val="0"/>
          <w:sz w:val="24"/>
          <w:szCs w:val="24"/>
          <w:lang w:val="el-GR"/>
          <w14:ligatures w14:val="none"/>
        </w:rPr>
        <w:t xml:space="preserve">προτείνουμε το μερίδιο του αποδοτικού </w:t>
      </w:r>
      <w:proofErr w:type="spellStart"/>
      <w:r w:rsidRPr="00441F4A">
        <w:rPr>
          <w:rFonts w:ascii="Calibri" w:eastAsia="Calibri" w:hAnsi="Calibri" w:cs="Calibri"/>
          <w:bCs w:val="0"/>
          <w:kern w:val="0"/>
          <w:sz w:val="24"/>
          <w:szCs w:val="24"/>
          <w:lang w:val="el-GR"/>
          <w14:ligatures w14:val="none"/>
        </w:rPr>
        <w:t>παρόχου</w:t>
      </w:r>
      <w:proofErr w:type="spellEnd"/>
      <w:r w:rsidRPr="00441F4A">
        <w:rPr>
          <w:rFonts w:ascii="Calibri" w:eastAsia="Calibri" w:hAnsi="Calibri" w:cs="Calibri"/>
          <w:bCs w:val="0"/>
          <w:kern w:val="0"/>
          <w:sz w:val="24"/>
          <w:szCs w:val="24"/>
          <w:lang w:val="el-GR"/>
          <w14:ligatures w14:val="none"/>
        </w:rPr>
        <w:t xml:space="preserve"> να φτάσει</w:t>
      </w:r>
      <w:r w:rsidR="00B41C9C" w:rsidRPr="00441F4A">
        <w:rPr>
          <w:rFonts w:ascii="Calibri" w:eastAsia="Calibri" w:hAnsi="Calibri" w:cs="Calibri"/>
          <w:bCs w:val="0"/>
          <w:kern w:val="0"/>
          <w:sz w:val="24"/>
          <w:szCs w:val="24"/>
          <w:lang w:val="el-GR"/>
          <w14:ligatures w14:val="none"/>
        </w:rPr>
        <w:t xml:space="preserve"> </w:t>
      </w:r>
      <w:r w:rsidR="00B41C9C" w:rsidRPr="00441F4A">
        <w:rPr>
          <w:rFonts w:ascii="Calibri" w:eastAsia="Calibri" w:hAnsi="Calibri" w:cs="Calibri"/>
          <w:bCs w:val="0"/>
          <w:kern w:val="0"/>
          <w:sz w:val="24"/>
          <w:szCs w:val="24"/>
          <w:lang w:val="el-GR"/>
          <w14:ligatures w14:val="none"/>
        </w:rPr>
        <w:sym w:font="Wingdings" w:char="F022"/>
      </w:r>
      <w:r w:rsidRPr="00441F4A">
        <w:rPr>
          <w:rFonts w:ascii="Calibri" w:eastAsia="Calibri" w:hAnsi="Calibri" w:cs="Calibri"/>
          <w:bCs w:val="0"/>
          <w:kern w:val="0"/>
          <w:sz w:val="24"/>
          <w:szCs w:val="24"/>
          <w:lang w:val="el-GR"/>
          <w14:ligatures w14:val="none"/>
        </w:rPr>
        <w:t xml:space="preserve"> της αγοράς FTTH το 2030 </w:t>
      </w:r>
      <w:r w:rsidR="00B41C9C" w:rsidRPr="00441F4A">
        <w:rPr>
          <w:rFonts w:ascii="Calibri" w:eastAsia="Calibri" w:hAnsi="Calibri" w:cs="Calibri"/>
          <w:bCs w:val="0"/>
          <w:kern w:val="0"/>
          <w:sz w:val="24"/>
          <w:szCs w:val="24"/>
          <w:lang w:val="el-GR"/>
          <w14:ligatures w14:val="none"/>
        </w:rPr>
        <w:sym w:font="Wingdings" w:char="F022"/>
      </w:r>
      <w:r w:rsidR="00B41C9C" w:rsidRPr="00441F4A">
        <w:rPr>
          <w:rFonts w:ascii="Calibri" w:eastAsia="Calibri" w:hAnsi="Calibri" w:cs="Calibri"/>
          <w:bCs w:val="0"/>
          <w:kern w:val="0"/>
          <w:sz w:val="24"/>
          <w:szCs w:val="24"/>
          <w:lang w:val="el-GR"/>
          <w14:ligatures w14:val="none"/>
        </w:rPr>
        <w:t xml:space="preserve"> </w:t>
      </w:r>
      <w:r w:rsidRPr="00441F4A">
        <w:rPr>
          <w:rFonts w:ascii="Calibri" w:eastAsia="Calibri" w:hAnsi="Calibri" w:cs="Calibri"/>
          <w:bCs w:val="0"/>
          <w:kern w:val="0"/>
          <w:sz w:val="24"/>
          <w:szCs w:val="24"/>
          <w:lang w:val="el-GR"/>
          <w14:ligatures w14:val="none"/>
        </w:rPr>
        <w:t>.</w:t>
      </w:r>
    </w:p>
    <w:p w14:paraId="2AD448A2" w14:textId="5A05C74F" w:rsidR="007A7BC6" w:rsidRPr="007A7BC6" w:rsidRDefault="007A7BC6" w:rsidP="00034FBB">
      <w:pPr>
        <w:widowControl w:val="0"/>
        <w:numPr>
          <w:ilvl w:val="0"/>
          <w:numId w:val="12"/>
        </w:numPr>
        <w:autoSpaceDE w:val="0"/>
        <w:autoSpaceDN w:val="0"/>
        <w:spacing w:after="240" w:line="360" w:lineRule="atLeast"/>
        <w:ind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u w:val="single"/>
          <w:lang w:val="el-GR"/>
          <w14:ligatures w14:val="none"/>
        </w:rPr>
        <w:t xml:space="preserve">Το </w:t>
      </w:r>
      <w:r w:rsidRPr="007A7BC6">
        <w:rPr>
          <w:rFonts w:ascii="Calibri" w:eastAsia="Calibri" w:hAnsi="Calibri" w:cs="Calibri"/>
          <w:bCs w:val="0"/>
          <w:kern w:val="0"/>
          <w:sz w:val="24"/>
          <w:szCs w:val="24"/>
          <w:u w:val="single"/>
          <w14:ligatures w14:val="none"/>
        </w:rPr>
        <w:t>effective</w:t>
      </w:r>
      <w:r w:rsidRPr="007A7BC6">
        <w:rPr>
          <w:rFonts w:ascii="Calibri" w:eastAsia="Calibri" w:hAnsi="Calibri" w:cs="Calibri"/>
          <w:bCs w:val="0"/>
          <w:kern w:val="0"/>
          <w:sz w:val="24"/>
          <w:szCs w:val="24"/>
          <w:u w:val="single"/>
          <w:lang w:val="el-GR"/>
          <w14:ligatures w14:val="none"/>
        </w:rPr>
        <w:t xml:space="preserve"> </w:t>
      </w:r>
      <w:proofErr w:type="spellStart"/>
      <w:r w:rsidRPr="007A7BC6">
        <w:rPr>
          <w:rFonts w:ascii="Calibri" w:eastAsia="Calibri" w:hAnsi="Calibri" w:cs="Calibri"/>
          <w:bCs w:val="0"/>
          <w:kern w:val="0"/>
          <w:sz w:val="24"/>
          <w:szCs w:val="24"/>
          <w:u w:val="single"/>
          <w:lang w:val="el-GR"/>
          <w14:ligatures w14:val="none"/>
        </w:rPr>
        <w:t>Splitting</w:t>
      </w:r>
      <w:proofErr w:type="spellEnd"/>
      <w:r w:rsidRPr="007A7BC6">
        <w:rPr>
          <w:rFonts w:ascii="Calibri" w:eastAsia="Calibri" w:hAnsi="Calibri" w:cs="Calibri"/>
          <w:bCs w:val="0"/>
          <w:kern w:val="0"/>
          <w:sz w:val="24"/>
          <w:szCs w:val="24"/>
          <w:u w:val="single"/>
          <w:lang w:val="el-GR"/>
          <w14:ligatures w14:val="none"/>
        </w:rPr>
        <w:t xml:space="preserve"> </w:t>
      </w:r>
      <w:proofErr w:type="spellStart"/>
      <w:r w:rsidRPr="007A7BC6">
        <w:rPr>
          <w:rFonts w:ascii="Calibri" w:eastAsia="Calibri" w:hAnsi="Calibri" w:cs="Calibri"/>
          <w:bCs w:val="0"/>
          <w:kern w:val="0"/>
          <w:sz w:val="24"/>
          <w:szCs w:val="24"/>
          <w:u w:val="single"/>
          <w:lang w:val="el-GR"/>
          <w14:ligatures w14:val="none"/>
        </w:rPr>
        <w:t>ratio</w:t>
      </w:r>
      <w:proofErr w:type="spellEnd"/>
      <w:r w:rsidRPr="007A7BC6">
        <w:rPr>
          <w:rFonts w:ascii="Calibri" w:eastAsia="Calibri" w:hAnsi="Calibri" w:cs="Calibri"/>
          <w:bCs w:val="0"/>
          <w:kern w:val="0"/>
          <w:sz w:val="24"/>
          <w:szCs w:val="24"/>
          <w:u w:val="single"/>
          <w:lang w:val="el-GR"/>
          <w14:ligatures w14:val="none"/>
        </w:rPr>
        <w:t xml:space="preserve"> είναι σημαντικά λιγότερο από το σχεδιαστικό 1:64</w:t>
      </w:r>
      <w:r w:rsidRPr="007A7BC6">
        <w:rPr>
          <w:rFonts w:ascii="Calibri" w:eastAsia="Calibri" w:hAnsi="Calibri" w:cs="Calibri"/>
          <w:bCs w:val="0"/>
          <w:kern w:val="0"/>
          <w:sz w:val="24"/>
          <w:szCs w:val="24"/>
          <w:lang w:val="el-GR"/>
          <w14:ligatures w14:val="none"/>
        </w:rPr>
        <w:t xml:space="preserve"> (πχ 1:32). Για την </w:t>
      </w:r>
      <w:proofErr w:type="spellStart"/>
      <w:r w:rsidRPr="007A7BC6">
        <w:rPr>
          <w:rFonts w:ascii="Calibri" w:eastAsia="Calibri" w:hAnsi="Calibri" w:cs="Calibri"/>
          <w:bCs w:val="0"/>
          <w:kern w:val="0"/>
          <w:sz w:val="24"/>
          <w:szCs w:val="24"/>
          <w:lang w:val="el-GR"/>
          <w14:ligatures w14:val="none"/>
        </w:rPr>
        <w:t>μοντελοποίηση</w:t>
      </w:r>
      <w:proofErr w:type="spellEnd"/>
      <w:r w:rsidRPr="007A7BC6">
        <w:rPr>
          <w:rFonts w:ascii="Calibri" w:eastAsia="Calibri" w:hAnsi="Calibri" w:cs="Calibri"/>
          <w:bCs w:val="0"/>
          <w:kern w:val="0"/>
          <w:sz w:val="24"/>
          <w:szCs w:val="24"/>
          <w:lang w:val="el-GR"/>
          <w14:ligatures w14:val="none"/>
        </w:rPr>
        <w:t xml:space="preserve"> του δικτύου FTTH από την ΕΕΤΤ χρησιμοποιείται </w:t>
      </w:r>
      <w:proofErr w:type="spellStart"/>
      <w:r w:rsidRPr="007A7BC6">
        <w:rPr>
          <w:rFonts w:ascii="Calibri" w:eastAsia="Calibri" w:hAnsi="Calibri" w:cs="Calibri"/>
          <w:bCs w:val="0"/>
          <w:kern w:val="0"/>
          <w:sz w:val="24"/>
          <w:szCs w:val="24"/>
          <w:lang w:val="el-GR"/>
          <w14:ligatures w14:val="none"/>
        </w:rPr>
        <w:t>splitting</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ratio</w:t>
      </w:r>
      <w:proofErr w:type="spellEnd"/>
      <w:r w:rsidRPr="007A7BC6">
        <w:rPr>
          <w:rFonts w:ascii="Calibri" w:eastAsia="Calibri" w:hAnsi="Calibri" w:cs="Calibri"/>
          <w:bCs w:val="0"/>
          <w:kern w:val="0"/>
          <w:sz w:val="24"/>
          <w:szCs w:val="24"/>
          <w:lang w:val="el-GR"/>
          <w14:ligatures w14:val="none"/>
        </w:rPr>
        <w:t xml:space="preserve"> 1:64 και XGSPON κάρτες για το OLT ακολουθώντας μια </w:t>
      </w:r>
      <w:proofErr w:type="spellStart"/>
      <w:r w:rsidRPr="007A7BC6">
        <w:rPr>
          <w:rFonts w:ascii="Calibri" w:eastAsia="Calibri" w:hAnsi="Calibri" w:cs="Calibri"/>
          <w:bCs w:val="0"/>
          <w:kern w:val="0"/>
          <w:sz w:val="24"/>
          <w:szCs w:val="24"/>
          <w:lang w:val="el-GR"/>
          <w14:ligatures w14:val="none"/>
        </w:rPr>
        <w:t>forward</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looking</w:t>
      </w:r>
      <w:proofErr w:type="spellEnd"/>
      <w:r w:rsidRPr="007A7BC6">
        <w:rPr>
          <w:rFonts w:ascii="Calibri" w:eastAsia="Calibri" w:hAnsi="Calibri" w:cs="Calibri"/>
          <w:bCs w:val="0"/>
          <w:kern w:val="0"/>
          <w:sz w:val="24"/>
          <w:szCs w:val="24"/>
          <w:lang w:val="el-GR"/>
          <w14:ligatures w14:val="none"/>
        </w:rPr>
        <w:t xml:space="preserve"> προσέγγιση για την κάλυψη των αναγκών των συνδρομητών. Η προσέγγιση αυτή είναι σύμφωνη με τον επί της αρχής σχεδιασμό των </w:t>
      </w:r>
      <w:proofErr w:type="spellStart"/>
      <w:r w:rsidRPr="007A7BC6">
        <w:rPr>
          <w:rFonts w:ascii="Calibri" w:eastAsia="Calibri" w:hAnsi="Calibri" w:cs="Calibri"/>
          <w:bCs w:val="0"/>
          <w:kern w:val="0"/>
          <w:sz w:val="24"/>
          <w:szCs w:val="24"/>
          <w:lang w:val="el-GR"/>
          <w14:ligatures w14:val="none"/>
        </w:rPr>
        <w:t>παρόχων</w:t>
      </w:r>
      <w:proofErr w:type="spellEnd"/>
      <w:r w:rsidRPr="007A7BC6">
        <w:rPr>
          <w:rFonts w:ascii="Calibri" w:eastAsia="Calibri" w:hAnsi="Calibri" w:cs="Calibri"/>
          <w:bCs w:val="0"/>
          <w:kern w:val="0"/>
          <w:sz w:val="24"/>
          <w:szCs w:val="24"/>
          <w:lang w:val="el-GR"/>
          <w14:ligatures w14:val="none"/>
        </w:rPr>
        <w:t xml:space="preserve"> και του ΟΤΕ, αλλά στην πράξη διαφοροποιείται σημαντικά, ιδιαίτερα στην περίπτωση των μονοκατοικιών, </w:t>
      </w:r>
      <w:r w:rsidR="00B41C9C">
        <w:rPr>
          <w:rFonts w:ascii="Calibri" w:eastAsia="Calibri" w:hAnsi="Calibri" w:cs="Calibri"/>
          <w:bCs w:val="0"/>
          <w:kern w:val="0"/>
          <w:sz w:val="24"/>
          <w:szCs w:val="24"/>
          <w:lang w:val="el-GR"/>
          <w14:ligatures w14:val="none"/>
        </w:rPr>
        <w:sym w:font="Wingdings" w:char="F022"/>
      </w:r>
      <w:r w:rsidRPr="00B41C9C">
        <w:rPr>
          <w:rFonts w:ascii="Calibri" w:eastAsia="Calibri" w:hAnsi="Calibri" w:cs="Calibri"/>
          <w:bCs w:val="0"/>
          <w:kern w:val="0"/>
          <w:sz w:val="24"/>
          <w:szCs w:val="24"/>
          <w:lang w:val="el-GR"/>
          <w14:ligatures w14:val="none"/>
        </w:rPr>
        <w:t>.</w:t>
      </w:r>
      <w:r w:rsidRPr="007A7BC6">
        <w:rPr>
          <w:rFonts w:ascii="Calibri" w:eastAsia="Calibri" w:hAnsi="Calibri" w:cs="Calibri"/>
          <w:bCs w:val="0"/>
          <w:kern w:val="0"/>
          <w:sz w:val="24"/>
          <w:szCs w:val="24"/>
          <w:lang w:val="el-GR"/>
          <w14:ligatures w14:val="none"/>
        </w:rPr>
        <w:t xml:space="preserve"> </w:t>
      </w:r>
    </w:p>
    <w:p w14:paraId="2CF3301E" w14:textId="77777777" w:rsidR="007A7BC6" w:rsidRPr="007A7BC6" w:rsidRDefault="007A7BC6" w:rsidP="00034FBB">
      <w:pPr>
        <w:widowControl w:val="0"/>
        <w:numPr>
          <w:ilvl w:val="0"/>
          <w:numId w:val="12"/>
        </w:numPr>
        <w:autoSpaceDE w:val="0"/>
        <w:autoSpaceDN w:val="0"/>
        <w:spacing w:after="240" w:line="360" w:lineRule="atLeast"/>
        <w:ind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u w:val="single"/>
          <w:lang w:val="el-GR"/>
          <w14:ligatures w14:val="none"/>
        </w:rPr>
        <w:t xml:space="preserve">Υπολογισμός πλήθους κτιρίων συνδεδεμένων στο δίκτυο πρόσβασης. </w:t>
      </w:r>
      <w:r w:rsidRPr="007A7BC6">
        <w:rPr>
          <w:rFonts w:ascii="Calibri" w:eastAsia="Calibri" w:hAnsi="Calibri" w:cs="Calibri"/>
          <w:bCs w:val="0"/>
          <w:kern w:val="0"/>
          <w:sz w:val="24"/>
          <w:szCs w:val="24"/>
          <w:lang w:val="el-GR"/>
          <w14:ligatures w14:val="none"/>
        </w:rPr>
        <w:t xml:space="preserve">Η ΕΕΤΤ υπολογίζει τον αριθμό των συνδεμένων κτιρίων στο δίκτυο για τον υπολογισμό του απαραίτητου αριθμού ινών, αφαιρώντας τα κτίρια άλλης χρήσης και </w:t>
      </w:r>
      <w:proofErr w:type="spellStart"/>
      <w:r w:rsidRPr="007A7BC6">
        <w:rPr>
          <w:rFonts w:ascii="Calibri" w:eastAsia="Calibri" w:hAnsi="Calibri" w:cs="Calibri"/>
          <w:bCs w:val="0"/>
          <w:kern w:val="0"/>
          <w:sz w:val="24"/>
          <w:szCs w:val="24"/>
          <w:lang w:val="el-GR"/>
          <w14:ligatures w14:val="none"/>
        </w:rPr>
        <w:t>κανονικοποιώντας</w:t>
      </w:r>
      <w:proofErr w:type="spellEnd"/>
      <w:r w:rsidRPr="007A7BC6">
        <w:rPr>
          <w:rFonts w:ascii="Calibri" w:eastAsia="Calibri" w:hAnsi="Calibri" w:cs="Calibri"/>
          <w:bCs w:val="0"/>
          <w:kern w:val="0"/>
          <w:sz w:val="24"/>
          <w:szCs w:val="24"/>
          <w:lang w:val="el-GR"/>
          <w14:ligatures w14:val="none"/>
        </w:rPr>
        <w:t xml:space="preserve"> τον αριθμό των ενεργών κτιρίων με βάση τον αριθμό των συνδρομητών. Αυτή η παραδοχή είναι αντίθετη με την αρχική τοποθέτηση της ΕΕΤΤ ότι το δίκτυο συνδέει και εξυπηρετεί το σύνολο των κτιρίων, και οδηγεί σε σύνδεση μόλις του 80% των κτιρίων που λαμβάνει υπόψη της η ΕΕΤΤ.</w:t>
      </w:r>
    </w:p>
    <w:p w14:paraId="0889AA65" w14:textId="4C6082C0" w:rsidR="007A7BC6" w:rsidRPr="007A7BC6" w:rsidRDefault="007A7BC6" w:rsidP="00034FBB">
      <w:pPr>
        <w:widowControl w:val="0"/>
        <w:numPr>
          <w:ilvl w:val="0"/>
          <w:numId w:val="12"/>
        </w:numPr>
        <w:autoSpaceDE w:val="0"/>
        <w:autoSpaceDN w:val="0"/>
        <w:spacing w:after="240" w:line="360" w:lineRule="atLeast"/>
        <w:ind w:right="0"/>
        <w:jc w:val="both"/>
        <w:rPr>
          <w:rFonts w:ascii="Calibri" w:eastAsia="Calibri" w:hAnsi="Calibri" w:cs="Calibri"/>
          <w:b/>
          <w:kern w:val="0"/>
          <w:sz w:val="24"/>
          <w:szCs w:val="24"/>
          <w:lang w:val="el-GR"/>
          <w14:ligatures w14:val="none"/>
        </w:rPr>
      </w:pPr>
      <w:proofErr w:type="spellStart"/>
      <w:r w:rsidRPr="007A7BC6">
        <w:rPr>
          <w:rFonts w:ascii="Calibri" w:eastAsia="Calibri" w:hAnsi="Calibri" w:cs="Calibri"/>
          <w:bCs w:val="0"/>
          <w:kern w:val="0"/>
          <w:sz w:val="24"/>
          <w:szCs w:val="24"/>
          <w:u w:val="single"/>
          <w:lang w:val="el-GR"/>
          <w14:ligatures w14:val="none"/>
        </w:rPr>
        <w:t>Μοντελοποίηση</w:t>
      </w:r>
      <w:proofErr w:type="spellEnd"/>
      <w:r w:rsidRPr="007A7BC6">
        <w:rPr>
          <w:rFonts w:ascii="Calibri" w:eastAsia="Calibri" w:hAnsi="Calibri" w:cs="Calibri"/>
          <w:bCs w:val="0"/>
          <w:kern w:val="0"/>
          <w:sz w:val="24"/>
          <w:szCs w:val="24"/>
          <w:u w:val="single"/>
          <w:lang w:val="el-GR"/>
          <w14:ligatures w14:val="none"/>
        </w:rPr>
        <w:t xml:space="preserve"> υπηρεσιών πρόσβασης </w:t>
      </w:r>
      <w:r w:rsidRPr="007A7BC6">
        <w:rPr>
          <w:rFonts w:ascii="Calibri" w:eastAsia="Calibri" w:hAnsi="Calibri" w:cs="Calibri"/>
          <w:bCs w:val="0"/>
          <w:kern w:val="0"/>
          <w:sz w:val="24"/>
          <w:szCs w:val="24"/>
          <w:u w:val="single"/>
          <w14:ligatures w14:val="none"/>
        </w:rPr>
        <w:t>f</w:t>
      </w:r>
      <w:proofErr w:type="spellStart"/>
      <w:r w:rsidRPr="007A7BC6">
        <w:rPr>
          <w:rFonts w:ascii="Calibri" w:eastAsia="Calibri" w:hAnsi="Calibri" w:cs="Calibri"/>
          <w:bCs w:val="0"/>
          <w:kern w:val="0"/>
          <w:sz w:val="24"/>
          <w:szCs w:val="24"/>
          <w:u w:val="single"/>
          <w:lang w:val="el-GR"/>
          <w14:ligatures w14:val="none"/>
        </w:rPr>
        <w:t>loorbox</w:t>
      </w:r>
      <w:proofErr w:type="spellEnd"/>
      <w:r w:rsidRPr="007A7BC6">
        <w:rPr>
          <w:rFonts w:ascii="Calibri" w:eastAsia="Calibri" w:hAnsi="Calibri" w:cs="Calibri"/>
          <w:bCs w:val="0"/>
          <w:kern w:val="0"/>
          <w:sz w:val="24"/>
          <w:szCs w:val="24"/>
          <w:u w:val="single"/>
          <w:lang w:val="el-GR"/>
          <w14:ligatures w14:val="none"/>
        </w:rPr>
        <w:t>.</w:t>
      </w:r>
      <w:r w:rsidRPr="007A7BC6">
        <w:rPr>
          <w:rFonts w:ascii="Calibri" w:eastAsia="Calibri" w:hAnsi="Calibri" w:cs="Calibri"/>
          <w:bCs w:val="0"/>
          <w:kern w:val="0"/>
          <w:sz w:val="24"/>
          <w:szCs w:val="24"/>
          <w:lang w:val="el-GR"/>
          <w14:ligatures w14:val="none"/>
        </w:rPr>
        <w:t xml:space="preserve"> Η ΕΕΤΤ υποεκτιμά το κόστος του </w:t>
      </w:r>
      <w:proofErr w:type="spellStart"/>
      <w:r w:rsidRPr="007A7BC6">
        <w:rPr>
          <w:rFonts w:ascii="Calibri" w:eastAsia="Calibri" w:hAnsi="Calibri" w:cs="Calibri"/>
          <w:bCs w:val="0"/>
          <w:kern w:val="0"/>
          <w:sz w:val="24"/>
          <w:szCs w:val="24"/>
          <w14:ligatures w14:val="none"/>
        </w:rPr>
        <w:t>floorbox</w:t>
      </w:r>
      <w:proofErr w:type="spellEnd"/>
      <w:r w:rsidRPr="007A7BC6">
        <w:rPr>
          <w:rFonts w:ascii="Calibri" w:eastAsia="Calibri" w:hAnsi="Calibri" w:cs="Calibri"/>
          <w:bCs w:val="0"/>
          <w:kern w:val="0"/>
          <w:sz w:val="24"/>
          <w:szCs w:val="24"/>
          <w:lang w:val="el-GR"/>
          <w14:ligatures w14:val="none"/>
        </w:rPr>
        <w:t xml:space="preserve"> στα κτίρια που εγκαθίσταται υποδομή με βάση την νέα ΚΥΑ κατά</w:t>
      </w:r>
      <w:r w:rsidR="000A2B97">
        <w:rPr>
          <w:rFonts w:ascii="Calibri" w:eastAsia="Calibri" w:hAnsi="Calibri" w:cs="Calibri"/>
          <w:bCs w:val="0"/>
          <w:kern w:val="0"/>
          <w:sz w:val="24"/>
          <w:szCs w:val="24"/>
          <w:lang w:val="el-GR"/>
          <w14:ligatures w14:val="none"/>
        </w:rPr>
        <w:t xml:space="preserve"> </w:t>
      </w:r>
      <w:r w:rsidR="00541C0C">
        <w:rPr>
          <w:rFonts w:ascii="Calibri" w:eastAsia="Calibri" w:hAnsi="Calibri" w:cs="Calibri"/>
          <w:bCs w:val="0"/>
          <w:kern w:val="0"/>
          <w:sz w:val="24"/>
          <w:szCs w:val="24"/>
          <w:lang w:val="el-GR"/>
          <w14:ligatures w14:val="none"/>
        </w:rPr>
        <w:sym w:font="Wingdings" w:char="F022"/>
      </w:r>
      <w:r w:rsidR="002271A7" w:rsidRPr="002271A7">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lang w:val="el-GR"/>
          <w14:ligatures w14:val="none"/>
        </w:rPr>
        <w:t xml:space="preserve">για το </w:t>
      </w:r>
      <w:proofErr w:type="spellStart"/>
      <w:r w:rsidRPr="007A7BC6">
        <w:rPr>
          <w:rFonts w:ascii="Calibri" w:eastAsia="Calibri" w:hAnsi="Calibri" w:cs="Calibri"/>
          <w:bCs w:val="0"/>
          <w:kern w:val="0"/>
          <w:sz w:val="24"/>
          <w:szCs w:val="24"/>
          <w14:ligatures w14:val="none"/>
        </w:rPr>
        <w:t>floorbox</w:t>
      </w:r>
      <w:proofErr w:type="spellEnd"/>
      <w:r w:rsidRPr="007A7BC6">
        <w:rPr>
          <w:rFonts w:ascii="Calibri" w:eastAsia="Calibri" w:hAnsi="Calibri" w:cs="Calibri"/>
          <w:bCs w:val="0"/>
          <w:kern w:val="0"/>
          <w:sz w:val="24"/>
          <w:szCs w:val="24"/>
          <w:lang w:val="el-GR"/>
          <w14:ligatures w14:val="none"/>
        </w:rPr>
        <w:t xml:space="preserve">, λόγω διπλασιασμού ινών, μεγέθους </w:t>
      </w:r>
      <w:proofErr w:type="spellStart"/>
      <w:r w:rsidRPr="007A7BC6">
        <w:rPr>
          <w:rFonts w:ascii="Calibri" w:eastAsia="Calibri" w:hAnsi="Calibri" w:cs="Calibri"/>
          <w:bCs w:val="0"/>
          <w:kern w:val="0"/>
          <w:sz w:val="24"/>
          <w:szCs w:val="24"/>
          <w14:ligatures w14:val="none"/>
        </w:rPr>
        <w:t>floorbox</w:t>
      </w:r>
      <w:proofErr w:type="spellEnd"/>
      <w:r w:rsidRPr="007A7BC6">
        <w:rPr>
          <w:rFonts w:ascii="Calibri" w:eastAsia="Calibri" w:hAnsi="Calibri" w:cs="Calibri"/>
          <w:bCs w:val="0"/>
          <w:kern w:val="0"/>
          <w:sz w:val="24"/>
          <w:szCs w:val="24"/>
          <w:lang w:val="el-GR"/>
          <w14:ligatures w14:val="none"/>
        </w:rPr>
        <w:t xml:space="preserve">, κολλήσεων </w:t>
      </w:r>
      <w:proofErr w:type="spellStart"/>
      <w:r w:rsidRPr="007A7BC6">
        <w:rPr>
          <w:rFonts w:ascii="Calibri" w:eastAsia="Calibri" w:hAnsi="Calibri" w:cs="Calibri"/>
          <w:bCs w:val="0"/>
          <w:kern w:val="0"/>
          <w:sz w:val="24"/>
          <w:szCs w:val="24"/>
          <w:lang w:val="el-GR"/>
          <w14:ligatures w14:val="none"/>
        </w:rPr>
        <w:t>κλπ</w:t>
      </w:r>
      <w:proofErr w:type="spellEnd"/>
      <w:r w:rsidRPr="007A7BC6">
        <w:rPr>
          <w:rFonts w:ascii="Calibri" w:eastAsia="Calibri" w:hAnsi="Calibri" w:cs="Calibri"/>
          <w:bCs w:val="0"/>
          <w:kern w:val="0"/>
          <w:sz w:val="24"/>
          <w:szCs w:val="24"/>
          <w:lang w:val="el-GR"/>
          <w14:ligatures w14:val="none"/>
        </w:rPr>
        <w:t xml:space="preserve"> </w:t>
      </w:r>
      <w:r w:rsidRPr="006647F9">
        <w:rPr>
          <w:rFonts w:ascii="Calibri" w:eastAsia="Calibri" w:hAnsi="Calibri" w:cs="Calibri"/>
          <w:bCs w:val="0"/>
          <w:kern w:val="0"/>
          <w:sz w:val="24"/>
          <w:szCs w:val="24"/>
          <w:lang w:val="el-GR"/>
          <w14:ligatures w14:val="none"/>
        </w:rPr>
        <w:t xml:space="preserve">και κατά </w:t>
      </w:r>
      <w:r w:rsidR="00541C0C">
        <w:rPr>
          <w:rFonts w:ascii="Calibri" w:eastAsia="Calibri" w:hAnsi="Calibri" w:cs="Calibri"/>
          <w:bCs w:val="0"/>
          <w:kern w:val="0"/>
          <w:sz w:val="24"/>
          <w:szCs w:val="24"/>
          <w:lang w:val="el-GR"/>
          <w14:ligatures w14:val="none"/>
        </w:rPr>
        <w:sym w:font="Wingdings" w:char="F022"/>
      </w:r>
      <w:r w:rsidR="00541C0C" w:rsidRPr="00852CE9">
        <w:rPr>
          <w:rFonts w:ascii="Calibri" w:eastAsia="Calibri" w:hAnsi="Calibri" w:cs="Calibri"/>
          <w:bCs w:val="0"/>
          <w:kern w:val="0"/>
          <w:sz w:val="24"/>
          <w:szCs w:val="24"/>
          <w:lang w:val="el-GR"/>
          <w14:ligatures w14:val="none"/>
        </w:rPr>
        <w:t xml:space="preserve"> </w:t>
      </w:r>
      <w:r w:rsidRPr="006647F9">
        <w:rPr>
          <w:rFonts w:ascii="Calibri" w:eastAsia="Calibri" w:hAnsi="Calibri" w:cs="Calibri"/>
          <w:bCs w:val="0"/>
          <w:kern w:val="0"/>
          <w:sz w:val="24"/>
          <w:szCs w:val="24"/>
          <w:lang w:val="el-GR"/>
          <w14:ligatures w14:val="none"/>
        </w:rPr>
        <w:t xml:space="preserve">για τον Κεντρικό Κατανεμητή Κτηρίου (ΒΜΟ). Το κόστος αυτό είναι σημαντικό </w:t>
      </w:r>
      <w:r w:rsidR="00DE0147">
        <w:rPr>
          <w:rFonts w:ascii="Calibri" w:eastAsia="Calibri" w:hAnsi="Calibri" w:cs="Calibri"/>
          <w:bCs w:val="0"/>
          <w:kern w:val="0"/>
          <w:sz w:val="24"/>
          <w:szCs w:val="24"/>
          <w:lang w:val="el-GR"/>
          <w14:ligatures w14:val="none"/>
        </w:rPr>
        <w:t xml:space="preserve">να αποτυπωθεί ορθά </w:t>
      </w:r>
      <w:r w:rsidRPr="006647F9">
        <w:rPr>
          <w:rFonts w:ascii="Calibri" w:eastAsia="Calibri" w:hAnsi="Calibri" w:cs="Calibri"/>
          <w:bCs w:val="0"/>
          <w:kern w:val="0"/>
          <w:sz w:val="24"/>
          <w:szCs w:val="24"/>
          <w:lang w:val="el-GR"/>
          <w14:ligatures w14:val="none"/>
        </w:rPr>
        <w:t xml:space="preserve">εάν λάβει κανείς υπόψη ότι με την παλιά ΚΥΑ </w:t>
      </w:r>
      <w:r w:rsidR="00DE0147">
        <w:rPr>
          <w:rFonts w:ascii="Calibri" w:eastAsia="Calibri" w:hAnsi="Calibri" w:cs="Calibri"/>
          <w:bCs w:val="0"/>
          <w:kern w:val="0"/>
          <w:sz w:val="24"/>
          <w:szCs w:val="24"/>
          <w:lang w:val="el-GR"/>
          <w14:ligatures w14:val="none"/>
        </w:rPr>
        <w:t>κατασκευάστηκαν λιγότερο από το 10% των συνολικών</w:t>
      </w:r>
      <w:r w:rsidRPr="006647F9">
        <w:rPr>
          <w:rFonts w:ascii="Calibri" w:eastAsia="Calibri" w:hAnsi="Calibri" w:cs="Calibri"/>
          <w:bCs w:val="0"/>
          <w:kern w:val="0"/>
          <w:sz w:val="24"/>
          <w:szCs w:val="24"/>
          <w:lang w:val="el-GR"/>
          <w14:ligatures w14:val="none"/>
        </w:rPr>
        <w:t xml:space="preserve"> </w:t>
      </w:r>
      <w:r w:rsidR="00DE0147" w:rsidRPr="006647F9">
        <w:rPr>
          <w:rFonts w:ascii="Calibri" w:eastAsia="Calibri" w:hAnsi="Calibri" w:cs="Calibri"/>
          <w:bCs w:val="0"/>
          <w:kern w:val="0"/>
          <w:sz w:val="24"/>
          <w:szCs w:val="24"/>
          <w:lang w:val="el-GR"/>
          <w14:ligatures w14:val="none"/>
        </w:rPr>
        <w:t>κτιρί</w:t>
      </w:r>
      <w:r w:rsidR="00DE0147">
        <w:rPr>
          <w:rFonts w:ascii="Calibri" w:eastAsia="Calibri" w:hAnsi="Calibri" w:cs="Calibri"/>
          <w:bCs w:val="0"/>
          <w:kern w:val="0"/>
          <w:sz w:val="24"/>
          <w:szCs w:val="24"/>
          <w:lang w:val="el-GR"/>
          <w14:ligatures w14:val="none"/>
        </w:rPr>
        <w:t>ων</w:t>
      </w:r>
      <w:r w:rsidRPr="006647F9">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lang w:val="el-GR"/>
          <w14:ligatures w14:val="none"/>
        </w:rPr>
        <w:t xml:space="preserve">που συνδέονται με </w:t>
      </w:r>
      <w:r w:rsidRPr="007A7BC6">
        <w:rPr>
          <w:rFonts w:ascii="Calibri" w:eastAsia="Calibri" w:hAnsi="Calibri" w:cs="Calibri"/>
          <w:bCs w:val="0"/>
          <w:kern w:val="0"/>
          <w:sz w:val="24"/>
          <w:szCs w:val="24"/>
          <w14:ligatures w14:val="none"/>
        </w:rPr>
        <w:t>FTTH</w:t>
      </w:r>
      <w:r w:rsidRPr="007A7BC6">
        <w:rPr>
          <w:rFonts w:ascii="Calibri" w:eastAsia="Calibri" w:hAnsi="Calibri" w:cs="Calibri"/>
          <w:bCs w:val="0"/>
          <w:kern w:val="0"/>
          <w:sz w:val="24"/>
          <w:szCs w:val="24"/>
          <w:lang w:val="el-GR"/>
          <w14:ligatures w14:val="none"/>
        </w:rPr>
        <w:t xml:space="preserve"> σύμφωνα με το μοντέλο της ΕΕΤΤ. Επιπλέον η ΕΕΤΤ τροποποίησε στον τρόπο υπολογισμού του </w:t>
      </w:r>
      <w:proofErr w:type="spellStart"/>
      <w:r w:rsidRPr="007A7BC6">
        <w:rPr>
          <w:rFonts w:ascii="Calibri" w:eastAsia="Calibri" w:hAnsi="Calibri" w:cs="Calibri"/>
          <w:bCs w:val="0"/>
          <w:kern w:val="0"/>
          <w:sz w:val="24"/>
          <w:szCs w:val="24"/>
          <w14:ligatures w14:val="none"/>
        </w:rPr>
        <w:t>floorbox</w:t>
      </w:r>
      <w:proofErr w:type="spellEnd"/>
      <w:r w:rsidRPr="007A7BC6">
        <w:rPr>
          <w:rFonts w:ascii="Calibri" w:eastAsia="Calibri" w:hAnsi="Calibri" w:cs="Calibri"/>
          <w:bCs w:val="0"/>
          <w:kern w:val="0"/>
          <w:sz w:val="24"/>
          <w:szCs w:val="24"/>
          <w:lang w:val="el-GR"/>
          <w14:ligatures w14:val="none"/>
        </w:rPr>
        <w:t xml:space="preserve"> τόσο ως προς τα έτη ζωής από 10 σε 15 έτη, όσο και ως προς το ποσοστό OPEX επί του CAPEX από 4% σε 2%, αλλαγές που δεν συνάδουν με το είδος της υπηρεσίας. Αναφέρουμε ενδεικτικά ότι τα </w:t>
      </w:r>
      <w:proofErr w:type="spellStart"/>
      <w:r w:rsidRPr="007A7BC6">
        <w:rPr>
          <w:rFonts w:ascii="Calibri" w:eastAsia="Calibri" w:hAnsi="Calibri" w:cs="Calibri"/>
          <w:bCs w:val="0"/>
          <w:kern w:val="0"/>
          <w:sz w:val="24"/>
          <w:szCs w:val="24"/>
          <w14:ligatures w14:val="none"/>
        </w:rPr>
        <w:t>floorbox</w:t>
      </w:r>
      <w:proofErr w:type="spellEnd"/>
      <w:r w:rsidRPr="007A7BC6">
        <w:rPr>
          <w:rFonts w:ascii="Calibri" w:eastAsia="Calibri" w:hAnsi="Calibri" w:cs="Calibri"/>
          <w:bCs w:val="0"/>
          <w:kern w:val="0"/>
          <w:sz w:val="24"/>
          <w:szCs w:val="24"/>
          <w:lang w:val="el-GR"/>
          <w14:ligatures w14:val="none"/>
        </w:rPr>
        <w:t xml:space="preserve"> εντός κτιρίων είναι εκτεθειμένα και υπόκεινται συχνά σε ζημιές και βανδαλισμούς, με αποτέλεσμα να έχουν </w:t>
      </w:r>
      <w:r w:rsidRPr="007A7BC6">
        <w:rPr>
          <w:rFonts w:ascii="Calibri" w:eastAsia="Calibri" w:hAnsi="Calibri" w:cs="Calibri"/>
          <w:bCs w:val="0"/>
          <w:kern w:val="0"/>
          <w:sz w:val="24"/>
          <w:szCs w:val="24"/>
          <w:lang w:val="el-GR"/>
          <w14:ligatures w14:val="none"/>
        </w:rPr>
        <w:lastRenderedPageBreak/>
        <w:t xml:space="preserve">αυξημένο </w:t>
      </w:r>
      <w:r w:rsidRPr="007A7BC6">
        <w:rPr>
          <w:rFonts w:ascii="Calibri" w:eastAsia="Calibri" w:hAnsi="Calibri" w:cs="Calibri"/>
          <w:bCs w:val="0"/>
          <w:kern w:val="0"/>
          <w:sz w:val="24"/>
          <w:szCs w:val="24"/>
          <w14:ligatures w14:val="none"/>
        </w:rPr>
        <w:t>OPEX</w:t>
      </w:r>
      <w:r w:rsidRPr="007A7BC6">
        <w:rPr>
          <w:rFonts w:ascii="Calibri" w:eastAsia="Calibri" w:hAnsi="Calibri" w:cs="Calibri"/>
          <w:bCs w:val="0"/>
          <w:kern w:val="0"/>
          <w:sz w:val="24"/>
          <w:szCs w:val="24"/>
          <w:lang w:val="el-GR"/>
          <w14:ligatures w14:val="none"/>
        </w:rPr>
        <w:t xml:space="preserve"> σε σχέση με αυτό των θαμμένων καλωδίων και σχετικών παθητικών υποδομών. Αντίστοιχα η υποεκτίμηση του κόστους επηρεάζει και τον υπολογισμό του κόστους για τα κτίρια που συνδέονται με κουπόνι </w:t>
      </w:r>
      <w:r w:rsidRPr="007A7BC6">
        <w:rPr>
          <w:rFonts w:ascii="Calibri" w:eastAsia="Calibri" w:hAnsi="Calibri" w:cs="Calibri"/>
          <w:bCs w:val="0"/>
          <w:kern w:val="0"/>
          <w:sz w:val="24"/>
          <w:szCs w:val="24"/>
          <w14:ligatures w14:val="none"/>
        </w:rPr>
        <w:t>Smart</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Readiness</w:t>
      </w:r>
      <w:r w:rsidRPr="007A7BC6">
        <w:rPr>
          <w:rFonts w:ascii="Calibri" w:eastAsia="Calibri" w:hAnsi="Calibri" w:cs="Calibri"/>
          <w:bCs w:val="0"/>
          <w:kern w:val="0"/>
          <w:sz w:val="24"/>
          <w:szCs w:val="24"/>
          <w:lang w:val="el-GR"/>
          <w14:ligatures w14:val="none"/>
        </w:rPr>
        <w:t xml:space="preserve">. Επιπλέον, λαμβάνοντας υπόψη ότι το 2024 είχαν εγκατασταθεί από πλευράς ΟΤΕ περισσότερα από </w:t>
      </w:r>
      <w:r w:rsidR="00541C0C">
        <w:rPr>
          <w:rFonts w:ascii="Calibri" w:eastAsia="Calibri" w:hAnsi="Calibri" w:cs="Calibri"/>
          <w:bCs w:val="0"/>
          <w:kern w:val="0"/>
          <w:sz w:val="24"/>
          <w:szCs w:val="24"/>
          <w:lang w:val="el-GR"/>
          <w14:ligatures w14:val="none"/>
        </w:rPr>
        <w:sym w:font="Wingdings" w:char="F022"/>
      </w:r>
      <w:r w:rsidR="00852CE9" w:rsidRPr="00852CE9">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f</w:t>
      </w:r>
      <w:proofErr w:type="spellStart"/>
      <w:r w:rsidRPr="007A7BC6">
        <w:rPr>
          <w:rFonts w:ascii="Calibri" w:eastAsia="Calibri" w:hAnsi="Calibri" w:cs="Calibri"/>
          <w:bCs w:val="0"/>
          <w:kern w:val="0"/>
          <w:sz w:val="24"/>
          <w:szCs w:val="24"/>
          <w:lang w:val="el-GR"/>
          <w14:ligatures w14:val="none"/>
        </w:rPr>
        <w:t>loorbox</w:t>
      </w:r>
      <w:proofErr w:type="spellEnd"/>
      <w:r w:rsidRPr="007A7BC6">
        <w:rPr>
          <w:rFonts w:ascii="Calibri" w:eastAsia="Calibri" w:hAnsi="Calibri" w:cs="Calibri"/>
          <w:bCs w:val="0"/>
          <w:kern w:val="0"/>
          <w:sz w:val="24"/>
          <w:szCs w:val="24"/>
          <w:lang w:val="el-GR"/>
          <w14:ligatures w14:val="none"/>
        </w:rPr>
        <w:t xml:space="preserve">, τα οποία κάλυπταν περίπου </w:t>
      </w:r>
      <w:r w:rsidR="00541C0C">
        <w:rPr>
          <w:rFonts w:ascii="Calibri" w:eastAsia="Calibri" w:hAnsi="Calibri" w:cs="Calibri"/>
          <w:bCs w:val="0"/>
          <w:kern w:val="0"/>
          <w:sz w:val="24"/>
          <w:szCs w:val="24"/>
          <w:lang w:val="el-GR"/>
          <w14:ligatures w14:val="none"/>
        </w:rPr>
        <w:sym w:font="Wingdings" w:char="F022"/>
      </w:r>
      <w:r w:rsidR="005F3E9C">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lang w:val="el-GR"/>
          <w14:ligatures w14:val="none"/>
        </w:rPr>
        <w:t>δυνητικούς συνδρομητές, ενώ οι πραγματικοί συνδρομητές ήταν περίπου</w:t>
      </w:r>
      <w:r w:rsidR="002271A7" w:rsidRPr="002271A7">
        <w:rPr>
          <w:rFonts w:ascii="Calibri" w:eastAsia="Calibri" w:hAnsi="Calibri" w:cs="Calibri"/>
          <w:bCs w:val="0"/>
          <w:kern w:val="0"/>
          <w:sz w:val="24"/>
          <w:szCs w:val="24"/>
          <w:lang w:val="el-GR"/>
          <w14:ligatures w14:val="none"/>
        </w:rPr>
        <w:t xml:space="preserve"> </w:t>
      </w:r>
      <w:r w:rsidR="00541C0C">
        <w:rPr>
          <w:rFonts w:ascii="Calibri" w:eastAsia="Calibri" w:hAnsi="Calibri" w:cs="Calibri"/>
          <w:bCs w:val="0"/>
          <w:kern w:val="0"/>
          <w:sz w:val="24"/>
          <w:szCs w:val="24"/>
          <w:lang w:val="el-GR"/>
          <w14:ligatures w14:val="none"/>
        </w:rPr>
        <w:sym w:font="Wingdings" w:char="F022"/>
      </w:r>
      <w:r w:rsidRPr="007A7BC6">
        <w:rPr>
          <w:rFonts w:ascii="Calibri" w:eastAsia="Calibri" w:hAnsi="Calibri" w:cs="Calibri"/>
          <w:bCs w:val="0"/>
          <w:kern w:val="0"/>
          <w:sz w:val="24"/>
          <w:szCs w:val="24"/>
          <w:lang w:val="el-GR"/>
          <w14:ligatures w14:val="none"/>
        </w:rPr>
        <w:t xml:space="preserve">, το μοντέλο υποεκτιμά το μηναίο τέλος με αποτέλεσμα η εταιρεία μας να μην ανακτά το κόστος των </w:t>
      </w:r>
      <w:proofErr w:type="spellStart"/>
      <w:r w:rsidRPr="007A7BC6">
        <w:rPr>
          <w:rFonts w:ascii="Calibri" w:eastAsia="Calibri" w:hAnsi="Calibri" w:cs="Calibri"/>
          <w:bCs w:val="0"/>
          <w:kern w:val="0"/>
          <w:sz w:val="24"/>
          <w:szCs w:val="24"/>
          <w14:ligatures w14:val="none"/>
        </w:rPr>
        <w:t>floorbox</w:t>
      </w:r>
      <w:proofErr w:type="spellEnd"/>
      <w:r w:rsidRPr="007A7BC6">
        <w:rPr>
          <w:rFonts w:ascii="Calibri" w:eastAsia="Calibri" w:hAnsi="Calibri" w:cs="Calibri"/>
          <w:b/>
          <w:kern w:val="0"/>
          <w:sz w:val="24"/>
          <w:szCs w:val="24"/>
          <w:lang w:val="el-GR"/>
          <w14:ligatures w14:val="none"/>
        </w:rPr>
        <w:t>.</w:t>
      </w:r>
    </w:p>
    <w:p w14:paraId="245AA0B6" w14:textId="2AD8C460" w:rsidR="007A7BC6" w:rsidRPr="007A7BC6" w:rsidRDefault="007A7BC6" w:rsidP="00034FBB">
      <w:pPr>
        <w:widowControl w:val="0"/>
        <w:numPr>
          <w:ilvl w:val="0"/>
          <w:numId w:val="12"/>
        </w:numPr>
        <w:autoSpaceDE w:val="0"/>
        <w:autoSpaceDN w:val="0"/>
        <w:spacing w:after="240" w:line="360" w:lineRule="atLeast"/>
        <w:ind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u w:val="single"/>
          <w:lang w:val="el-GR"/>
          <w14:ligatures w14:val="none"/>
        </w:rPr>
        <w:t>Εφάπαξ τέλη υπηρεσιών - εκπτώσεις όγκου πολλαπλών &amp; μαζικών  (</w:t>
      </w:r>
      <w:proofErr w:type="spellStart"/>
      <w:r w:rsidRPr="007A7BC6">
        <w:rPr>
          <w:rFonts w:ascii="Calibri" w:eastAsia="Calibri" w:hAnsi="Calibri" w:cs="Calibri"/>
          <w:bCs w:val="0"/>
          <w:kern w:val="0"/>
          <w:sz w:val="24"/>
          <w:szCs w:val="24"/>
          <w:u w:val="single"/>
          <w:lang w:val="el-GR"/>
          <w14:ligatures w14:val="none"/>
        </w:rPr>
        <w:t>Learning</w:t>
      </w:r>
      <w:proofErr w:type="spellEnd"/>
      <w:r w:rsidRPr="007A7BC6">
        <w:rPr>
          <w:rFonts w:ascii="Calibri" w:eastAsia="Calibri" w:hAnsi="Calibri" w:cs="Calibri"/>
          <w:bCs w:val="0"/>
          <w:kern w:val="0"/>
          <w:sz w:val="24"/>
          <w:szCs w:val="24"/>
          <w:u w:val="single"/>
          <w:lang w:val="el-GR"/>
          <w14:ligatures w14:val="none"/>
        </w:rPr>
        <w:t xml:space="preserve"> </w:t>
      </w:r>
      <w:proofErr w:type="spellStart"/>
      <w:r w:rsidRPr="007A7BC6">
        <w:rPr>
          <w:rFonts w:ascii="Calibri" w:eastAsia="Calibri" w:hAnsi="Calibri" w:cs="Calibri"/>
          <w:bCs w:val="0"/>
          <w:kern w:val="0"/>
          <w:sz w:val="24"/>
          <w:szCs w:val="24"/>
          <w:u w:val="single"/>
          <w:lang w:val="el-GR"/>
          <w14:ligatures w14:val="none"/>
        </w:rPr>
        <w:t>Curve</w:t>
      </w:r>
      <w:proofErr w:type="spellEnd"/>
      <w:r w:rsidRPr="007A7BC6">
        <w:rPr>
          <w:rFonts w:ascii="Calibri" w:eastAsia="Calibri" w:hAnsi="Calibri" w:cs="Calibri"/>
          <w:bCs w:val="0"/>
          <w:kern w:val="0"/>
          <w:sz w:val="24"/>
          <w:szCs w:val="24"/>
          <w:u w:val="single"/>
          <w:lang w:val="el-GR"/>
          <w14:ligatures w14:val="none"/>
        </w:rPr>
        <w:t xml:space="preserve"> </w:t>
      </w:r>
      <w:proofErr w:type="spellStart"/>
      <w:r w:rsidRPr="007A7BC6">
        <w:rPr>
          <w:rFonts w:ascii="Calibri" w:eastAsia="Calibri" w:hAnsi="Calibri" w:cs="Calibri"/>
          <w:bCs w:val="0"/>
          <w:kern w:val="0"/>
          <w:sz w:val="24"/>
          <w:szCs w:val="24"/>
          <w:u w:val="single"/>
          <w:lang w:val="el-GR"/>
          <w14:ligatures w14:val="none"/>
        </w:rPr>
        <w:t>Theory</w:t>
      </w:r>
      <w:proofErr w:type="spellEnd"/>
      <w:r w:rsidRPr="007A7BC6">
        <w:rPr>
          <w:rFonts w:ascii="Calibri" w:eastAsia="Calibri" w:hAnsi="Calibri" w:cs="Calibri"/>
          <w:bCs w:val="0"/>
          <w:kern w:val="0"/>
          <w:sz w:val="24"/>
          <w:szCs w:val="24"/>
          <w:u w:val="single"/>
          <w:lang w:val="el-GR"/>
          <w14:ligatures w14:val="none"/>
        </w:rPr>
        <w:t xml:space="preserve">). </w:t>
      </w:r>
      <w:r w:rsidRPr="007A7BC6">
        <w:rPr>
          <w:rFonts w:ascii="Calibri" w:eastAsia="Calibri" w:hAnsi="Calibri" w:cs="Calibri"/>
          <w:bCs w:val="0"/>
          <w:kern w:val="0"/>
          <w:sz w:val="24"/>
          <w:szCs w:val="24"/>
          <w:lang w:val="el-GR"/>
          <w14:ligatures w14:val="none"/>
        </w:rPr>
        <w:t xml:space="preserve">Ο ΟΤΕ θεωρεί ότι μείωση κόστους για πολλαπλά ή μαζικά αιτήματα μπορεί να επιτευχθεί μόνο μέσω ομαδοποιημένου προγραμματισμού σε επίπεδο καμπίνας ή κτιρίου, όπου πράγματι μπορούν να προκύψουν οικονομίες κλίμακας από τις λιγότερες μεταβάσεις. Σε επίπεδο Αστικού Κέντρου (ΑΚ) έχουν ήδη εφαρμοστεί τεχνικές βελτιστοποίησης, ενώ η χρήση καμπύλης εκμάθησης δεν είναι κατάλληλη, καθώς οι εργασίες πεδίου δεν είναι επαναλαμβανόμενες και εξαρτώνται από τοπικές συνθήκες. Επιπλέον, η περαιτέρω «βελτίωση παραγωγικότητας» οδηγεί σε </w:t>
      </w:r>
      <w:proofErr w:type="spellStart"/>
      <w:r w:rsidRPr="007A7BC6">
        <w:rPr>
          <w:rFonts w:ascii="Calibri" w:eastAsia="Calibri" w:hAnsi="Calibri" w:cs="Calibri"/>
          <w:bCs w:val="0"/>
          <w:kern w:val="0"/>
          <w:sz w:val="24"/>
          <w:szCs w:val="24"/>
          <w:lang w:val="el-GR"/>
          <w14:ligatures w14:val="none"/>
        </w:rPr>
        <w:t>διπλομέτρηση</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double</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counting</w:t>
      </w:r>
      <w:proofErr w:type="spellEnd"/>
      <w:r w:rsidRPr="007A7BC6">
        <w:rPr>
          <w:rFonts w:ascii="Calibri" w:eastAsia="Calibri" w:hAnsi="Calibri" w:cs="Calibri"/>
          <w:bCs w:val="0"/>
          <w:kern w:val="0"/>
          <w:sz w:val="24"/>
          <w:szCs w:val="24"/>
          <w:lang w:val="el-GR"/>
          <w14:ligatures w14:val="none"/>
        </w:rPr>
        <w:t>), δεδομένου ότι οι αρχικοί χρόνοι της ΕΕΤΤ ενσωματώνουν ήδη τις βελτιστοποιήσεις του ΟΤΕ. Σε κάθε περίπτωση, θα πρέπει να συνυπολογιστεί το κόστος ανάπτυξης των ΙΤ συστημάτων που απαιτούνται για την ομαδοποίηση των αιτημάτων, προκειμένου να προκύψει ουσιαστικό συνολικό όφελος. Επιπλέον, ως προς τον υπολογισμό του κόστους ημερομισθίων, διαπιστώνεται ότι δεν έχει ενσωματωθεί το έμμεσο κόστος (</w:t>
      </w:r>
      <w:proofErr w:type="spellStart"/>
      <w:r w:rsidRPr="007A7BC6">
        <w:rPr>
          <w:rFonts w:ascii="Calibri" w:eastAsia="Calibri" w:hAnsi="Calibri" w:cs="Calibri"/>
          <w:bCs w:val="0"/>
          <w:kern w:val="0"/>
          <w:sz w:val="24"/>
          <w:szCs w:val="24"/>
          <w:lang w:val="el-GR"/>
          <w14:ligatures w14:val="none"/>
        </w:rPr>
        <w:t>indirect</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cost</w:t>
      </w:r>
      <w:proofErr w:type="spellEnd"/>
      <w:r w:rsidRPr="007A7BC6">
        <w:rPr>
          <w:rFonts w:ascii="Calibri" w:eastAsia="Calibri" w:hAnsi="Calibri" w:cs="Calibri"/>
          <w:bCs w:val="0"/>
          <w:kern w:val="0"/>
          <w:sz w:val="24"/>
          <w:szCs w:val="24"/>
          <w:lang w:val="el-GR"/>
          <w14:ligatures w14:val="none"/>
        </w:rPr>
        <w:t xml:space="preserve">), το οποίο σύμφωνα με το ΕΚΟΣ του ΟΤΕ ανέρχεται σε </w:t>
      </w:r>
      <w:r w:rsidR="00541C0C">
        <w:rPr>
          <w:rFonts w:ascii="Calibri" w:eastAsia="Calibri" w:hAnsi="Calibri" w:cs="Calibri"/>
          <w:bCs w:val="0"/>
          <w:kern w:val="0"/>
          <w:sz w:val="24"/>
          <w:szCs w:val="24"/>
          <w:lang w:val="el-GR"/>
          <w14:ligatures w14:val="none"/>
        </w:rPr>
        <w:sym w:font="Wingdings" w:char="F022"/>
      </w:r>
      <w:r w:rsidRPr="007A7BC6">
        <w:rPr>
          <w:rFonts w:ascii="Calibri" w:eastAsia="Calibri" w:hAnsi="Calibri" w:cs="Calibri"/>
          <w:bCs w:val="0"/>
          <w:kern w:val="0"/>
          <w:sz w:val="24"/>
          <w:szCs w:val="24"/>
          <w:lang w:val="el-GR"/>
          <w14:ligatures w14:val="none"/>
        </w:rPr>
        <w:t>. Παράλληλα, εντοπίζεται μεθοδολογική ασυμφωνία, καθώς στο μοντέλο της ΕΕΤΤ το υπολογιζόμενο κόστος μηχανικών (€/</w:t>
      </w:r>
      <w:proofErr w:type="spellStart"/>
      <w:r w:rsidRPr="007A7BC6">
        <w:rPr>
          <w:rFonts w:ascii="Calibri" w:eastAsia="Calibri" w:hAnsi="Calibri" w:cs="Calibri"/>
          <w:bCs w:val="0"/>
          <w:kern w:val="0"/>
          <w:sz w:val="24"/>
          <w:szCs w:val="24"/>
          <w:lang w:val="el-GR"/>
          <w14:ligatures w14:val="none"/>
        </w:rPr>
        <w:t>min</w:t>
      </w:r>
      <w:proofErr w:type="spellEnd"/>
      <w:r w:rsidRPr="007A7BC6">
        <w:rPr>
          <w:rFonts w:ascii="Calibri" w:eastAsia="Calibri" w:hAnsi="Calibri" w:cs="Calibri"/>
          <w:bCs w:val="0"/>
          <w:kern w:val="0"/>
          <w:sz w:val="24"/>
          <w:szCs w:val="24"/>
          <w:lang w:val="el-GR"/>
          <w14:ligatures w14:val="none"/>
        </w:rPr>
        <w:t>) εμφανίζεται χαμηλότερο από το κόστος τεχνικών πεδίου, γεγονός που δεν αντανακλά τη δομή κόστους και την ιεραρχία εξειδίκευσης των εμπλεκόμενων ειδικοτήτων.</w:t>
      </w:r>
    </w:p>
    <w:p w14:paraId="43D42C8D" w14:textId="2D9AEC0C" w:rsidR="007A7BC6" w:rsidRPr="007A7BC6" w:rsidRDefault="007A7BC6" w:rsidP="00034FBB">
      <w:pPr>
        <w:widowControl w:val="0"/>
        <w:numPr>
          <w:ilvl w:val="0"/>
          <w:numId w:val="12"/>
        </w:numPr>
        <w:autoSpaceDE w:val="0"/>
        <w:autoSpaceDN w:val="0"/>
        <w:spacing w:after="240" w:line="360" w:lineRule="atLeast"/>
        <w:ind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u w:val="single"/>
          <w14:ligatures w14:val="none"/>
        </w:rPr>
        <w:t>To</w:t>
      </w:r>
      <w:r w:rsidRPr="007A7BC6">
        <w:rPr>
          <w:rFonts w:ascii="Calibri" w:eastAsia="Calibri" w:hAnsi="Calibri" w:cs="Calibri"/>
          <w:bCs w:val="0"/>
          <w:kern w:val="0"/>
          <w:sz w:val="24"/>
          <w:szCs w:val="24"/>
          <w:u w:val="single"/>
          <w:lang w:val="el-GR"/>
          <w14:ligatures w14:val="none"/>
        </w:rPr>
        <w:t xml:space="preserve"> </w:t>
      </w:r>
      <w:r w:rsidRPr="007A7BC6">
        <w:rPr>
          <w:rFonts w:ascii="Calibri" w:eastAsia="Calibri" w:hAnsi="Calibri" w:cs="Calibri"/>
          <w:bCs w:val="0"/>
          <w:kern w:val="0"/>
          <w:sz w:val="24"/>
          <w:szCs w:val="24"/>
          <w:u w:val="single"/>
          <w14:ligatures w14:val="none"/>
        </w:rPr>
        <w:t>WACC</w:t>
      </w:r>
      <w:r w:rsidRPr="007A7BC6">
        <w:rPr>
          <w:rFonts w:ascii="Calibri" w:eastAsia="Calibri" w:hAnsi="Calibri" w:cs="Calibri"/>
          <w:bCs w:val="0"/>
          <w:kern w:val="0"/>
          <w:sz w:val="24"/>
          <w:szCs w:val="24"/>
          <w:u w:val="single"/>
          <w:lang w:val="el-GR"/>
          <w14:ligatures w14:val="none"/>
        </w:rPr>
        <w:t>/</w:t>
      </w:r>
      <w:r w:rsidRPr="007A7BC6">
        <w:rPr>
          <w:rFonts w:ascii="Calibri" w:eastAsia="Calibri" w:hAnsi="Calibri" w:cs="Calibri"/>
          <w:bCs w:val="0"/>
          <w:kern w:val="0"/>
          <w:sz w:val="24"/>
          <w:szCs w:val="24"/>
          <w:u w:val="single"/>
          <w14:ligatures w14:val="none"/>
        </w:rPr>
        <w:t>RFR</w:t>
      </w:r>
      <w:r w:rsidRPr="007A7BC6">
        <w:rPr>
          <w:rFonts w:ascii="Calibri" w:eastAsia="Calibri" w:hAnsi="Calibri" w:cs="Calibri"/>
          <w:bCs w:val="0"/>
          <w:kern w:val="0"/>
          <w:sz w:val="24"/>
          <w:szCs w:val="24"/>
          <w:u w:val="single"/>
          <w:lang w:val="el-GR"/>
          <w14:ligatures w14:val="none"/>
        </w:rPr>
        <w:t xml:space="preserve"> είναι ασύμβατο με την σημερινή </w:t>
      </w:r>
      <w:proofErr w:type="spellStart"/>
      <w:r w:rsidRPr="007A7BC6">
        <w:rPr>
          <w:rFonts w:ascii="Calibri" w:eastAsia="Calibri" w:hAnsi="Calibri" w:cs="Calibri"/>
          <w:bCs w:val="0"/>
          <w:kern w:val="0"/>
          <w:sz w:val="24"/>
          <w:szCs w:val="24"/>
          <w:u w:val="single"/>
          <w:lang w:val="el-GR"/>
          <w14:ligatures w14:val="none"/>
        </w:rPr>
        <w:t>μακρο</w:t>
      </w:r>
      <w:proofErr w:type="spellEnd"/>
      <w:r w:rsidRPr="007A7BC6">
        <w:rPr>
          <w:rFonts w:ascii="Calibri" w:eastAsia="Calibri" w:hAnsi="Calibri" w:cs="Calibri"/>
          <w:bCs w:val="0"/>
          <w:kern w:val="0"/>
          <w:sz w:val="24"/>
          <w:szCs w:val="24"/>
          <w:u w:val="single"/>
          <w:lang w:val="el-GR"/>
          <w14:ligatures w14:val="none"/>
        </w:rPr>
        <w:t>-οικονομική πραγματικότητα της Ελλάδας.</w:t>
      </w:r>
      <w:r w:rsidRPr="007A7BC6">
        <w:rPr>
          <w:rFonts w:ascii="Calibri" w:eastAsia="Calibri" w:hAnsi="Calibri" w:cs="Calibri"/>
          <w:bCs w:val="0"/>
          <w:kern w:val="0"/>
          <w:sz w:val="24"/>
          <w:szCs w:val="24"/>
          <w:lang w:val="el-GR"/>
          <w14:ligatures w14:val="none"/>
        </w:rPr>
        <w:t xml:space="preserve"> Το χρησιμοποιούμενο RFR είναι σημαντικά </w:t>
      </w:r>
      <w:proofErr w:type="spellStart"/>
      <w:r w:rsidRPr="007A7BC6">
        <w:rPr>
          <w:rFonts w:ascii="Calibri" w:eastAsia="Calibri" w:hAnsi="Calibri" w:cs="Calibri"/>
          <w:bCs w:val="0"/>
          <w:kern w:val="0"/>
          <w:sz w:val="24"/>
          <w:szCs w:val="24"/>
          <w:lang w:val="el-GR"/>
          <w14:ligatures w14:val="none"/>
        </w:rPr>
        <w:t>υπο</w:t>
      </w:r>
      <w:proofErr w:type="spellEnd"/>
      <w:r w:rsidRPr="007A7BC6">
        <w:rPr>
          <w:rFonts w:ascii="Calibri" w:eastAsia="Calibri" w:hAnsi="Calibri" w:cs="Calibri"/>
          <w:bCs w:val="0"/>
          <w:kern w:val="0"/>
          <w:sz w:val="24"/>
          <w:szCs w:val="24"/>
          <w:lang w:val="el-GR"/>
          <w14:ligatures w14:val="none"/>
        </w:rPr>
        <w:t xml:space="preserve">-εκτιμημένο και δεν αντανακλά τις πραγματικές </w:t>
      </w:r>
      <w:proofErr w:type="spellStart"/>
      <w:r w:rsidRPr="007A7BC6">
        <w:rPr>
          <w:rFonts w:ascii="Calibri" w:eastAsia="Calibri" w:hAnsi="Calibri" w:cs="Calibri"/>
          <w:bCs w:val="0"/>
          <w:kern w:val="0"/>
          <w:sz w:val="24"/>
          <w:szCs w:val="24"/>
          <w:lang w:val="el-GR"/>
          <w14:ligatures w14:val="none"/>
        </w:rPr>
        <w:t>μακρο</w:t>
      </w:r>
      <w:proofErr w:type="spellEnd"/>
      <w:r w:rsidRPr="007A7BC6">
        <w:rPr>
          <w:rFonts w:ascii="Calibri" w:eastAsia="Calibri" w:hAnsi="Calibri" w:cs="Calibri"/>
          <w:bCs w:val="0"/>
          <w:kern w:val="0"/>
          <w:sz w:val="24"/>
          <w:szCs w:val="24"/>
          <w:lang w:val="el-GR"/>
          <w14:ligatures w14:val="none"/>
        </w:rPr>
        <w:t xml:space="preserve">-οικονομικές συνθήκες της χώρας σήμερα. Το RFR της Ελλάδος εκτιμάται ως 2,70% βάσει του πλέον προσφάτου BEREC </w:t>
      </w:r>
      <w:proofErr w:type="spellStart"/>
      <w:r w:rsidRPr="007A7BC6">
        <w:rPr>
          <w:rFonts w:ascii="Calibri" w:eastAsia="Calibri" w:hAnsi="Calibri" w:cs="Calibri"/>
          <w:bCs w:val="0"/>
          <w:kern w:val="0"/>
          <w:sz w:val="24"/>
          <w:szCs w:val="24"/>
          <w:lang w:val="el-GR"/>
          <w14:ligatures w14:val="none"/>
        </w:rPr>
        <w:t>report</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BoR</w:t>
      </w:r>
      <w:proofErr w:type="spellEnd"/>
      <w:r w:rsidRPr="007A7BC6">
        <w:rPr>
          <w:rFonts w:ascii="Calibri" w:eastAsia="Calibri" w:hAnsi="Calibri" w:cs="Calibri"/>
          <w:bCs w:val="0"/>
          <w:kern w:val="0"/>
          <w:sz w:val="24"/>
          <w:szCs w:val="24"/>
          <w:lang w:val="el-GR"/>
          <w14:ligatures w14:val="none"/>
        </w:rPr>
        <w:t xml:space="preserve"> (25). Από την άλλη, ο πληθωρισμός της χώρας σύμφωνα με τα πλέον πρόσφατα επίσημα στοιχεία της ΕΛΣΤΑΤ της 31/08 είναι 2,9%. Επίσης, σύμφωνα με τα πλέον πρόσφατα στοιχεία του 2025 η απόδοση του δεκαετούς κρατικού ομολόγου εκτιμάται σήμερα ως 3,37%. Ο ΟΤΕ θεωρεί ότι το </w:t>
      </w:r>
      <w:r w:rsidRPr="007A7BC6">
        <w:rPr>
          <w:rFonts w:ascii="Calibri" w:eastAsia="Calibri" w:hAnsi="Calibri" w:cs="Calibri"/>
          <w:bCs w:val="0"/>
          <w:kern w:val="0"/>
          <w:sz w:val="24"/>
          <w:szCs w:val="24"/>
          <w14:ligatures w14:val="none"/>
        </w:rPr>
        <w:t>WACC</w:t>
      </w:r>
      <w:r w:rsidRPr="007A7BC6">
        <w:rPr>
          <w:rFonts w:ascii="Calibri" w:eastAsia="Calibri" w:hAnsi="Calibri" w:cs="Calibri"/>
          <w:bCs w:val="0"/>
          <w:kern w:val="0"/>
          <w:sz w:val="24"/>
          <w:szCs w:val="24"/>
          <w:lang w:val="el-GR"/>
          <w14:ligatures w14:val="none"/>
        </w:rPr>
        <w:t xml:space="preserve"> παραδοσιακών υπηρεσιών για την Ελλάδα θα πρέπει να οριστεί </w:t>
      </w:r>
      <w:r w:rsidR="00B41C9C">
        <w:rPr>
          <w:rFonts w:ascii="Calibri" w:eastAsia="Calibri" w:hAnsi="Calibri" w:cs="Calibri"/>
          <w:bCs w:val="0"/>
          <w:kern w:val="0"/>
          <w:sz w:val="24"/>
          <w:szCs w:val="24"/>
          <w:lang w:val="el-GR"/>
          <w14:ligatures w14:val="none"/>
        </w:rPr>
        <w:sym w:font="Wingdings" w:char="F022"/>
      </w:r>
      <w:r w:rsidR="00B41C9C" w:rsidRPr="00073E3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lang w:val="el-GR"/>
          <w14:ligatures w14:val="none"/>
        </w:rPr>
        <w:t>.</w:t>
      </w:r>
    </w:p>
    <w:p w14:paraId="3DBDED2C" w14:textId="17D47F37" w:rsidR="007A7BC6" w:rsidRPr="007A7BC6" w:rsidRDefault="007A7BC6" w:rsidP="00034FBB">
      <w:pPr>
        <w:widowControl w:val="0"/>
        <w:numPr>
          <w:ilvl w:val="0"/>
          <w:numId w:val="12"/>
        </w:numPr>
        <w:autoSpaceDE w:val="0"/>
        <w:autoSpaceDN w:val="0"/>
        <w:spacing w:after="240" w:line="360" w:lineRule="atLeast"/>
        <w:ind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u w:val="single"/>
          <w14:ligatures w14:val="none"/>
        </w:rPr>
        <w:lastRenderedPageBreak/>
        <w:t>Overheads</w:t>
      </w:r>
      <w:r w:rsidRPr="007A7BC6">
        <w:rPr>
          <w:rFonts w:ascii="Calibri" w:eastAsia="Calibri" w:hAnsi="Calibri" w:cs="Calibri"/>
          <w:bCs w:val="0"/>
          <w:kern w:val="0"/>
          <w:sz w:val="24"/>
          <w:szCs w:val="24"/>
          <w:u w:val="single"/>
          <w:lang w:val="el-GR"/>
          <w14:ligatures w14:val="none"/>
        </w:rPr>
        <w:t>/ Ε</w:t>
      </w:r>
      <w:r w:rsidRPr="007A7BC6">
        <w:rPr>
          <w:rFonts w:ascii="Calibri" w:eastAsia="Calibri" w:hAnsi="Calibri" w:cs="Calibri"/>
          <w:bCs w:val="0"/>
          <w:kern w:val="0"/>
          <w:sz w:val="24"/>
          <w:szCs w:val="24"/>
          <w:u w:val="single"/>
          <w14:ligatures w14:val="none"/>
        </w:rPr>
        <w:t>PMU</w:t>
      </w:r>
      <w:r w:rsidRPr="007A7BC6">
        <w:rPr>
          <w:rFonts w:ascii="Calibri" w:eastAsia="Calibri" w:hAnsi="Calibri" w:cs="Calibri"/>
          <w:bCs w:val="0"/>
          <w:kern w:val="0"/>
          <w:sz w:val="24"/>
          <w:szCs w:val="24"/>
          <w:u w:val="single"/>
          <w:lang w:val="el-GR"/>
          <w14:ligatures w14:val="none"/>
        </w:rPr>
        <w:t xml:space="preserve">/ </w:t>
      </w:r>
      <w:r w:rsidRPr="007A7BC6">
        <w:rPr>
          <w:rFonts w:ascii="Calibri" w:eastAsia="Calibri" w:hAnsi="Calibri" w:cs="Calibri"/>
          <w:bCs w:val="0"/>
          <w:kern w:val="0"/>
          <w:sz w:val="24"/>
          <w:szCs w:val="24"/>
          <w:u w:val="single"/>
          <w14:ligatures w14:val="none"/>
        </w:rPr>
        <w:t>Indirect</w:t>
      </w:r>
      <w:r w:rsidRPr="007A7BC6">
        <w:rPr>
          <w:rFonts w:ascii="Calibri" w:eastAsia="Calibri" w:hAnsi="Calibri" w:cs="Calibri"/>
          <w:bCs w:val="0"/>
          <w:kern w:val="0"/>
          <w:sz w:val="24"/>
          <w:szCs w:val="24"/>
          <w:u w:val="single"/>
          <w:lang w:val="el-GR"/>
          <w14:ligatures w14:val="none"/>
        </w:rPr>
        <w:t xml:space="preserve"> </w:t>
      </w:r>
      <w:r w:rsidRPr="007A7BC6">
        <w:rPr>
          <w:rFonts w:ascii="Calibri" w:eastAsia="Calibri" w:hAnsi="Calibri" w:cs="Calibri"/>
          <w:bCs w:val="0"/>
          <w:kern w:val="0"/>
          <w:sz w:val="24"/>
          <w:szCs w:val="24"/>
          <w:u w:val="single"/>
          <w14:ligatures w14:val="none"/>
        </w:rPr>
        <w:t>Costs</w:t>
      </w:r>
      <w:r w:rsidRPr="007A7BC6">
        <w:rPr>
          <w:rFonts w:ascii="Calibri" w:eastAsia="Calibri" w:hAnsi="Calibri" w:cs="Calibri"/>
          <w:bCs w:val="0"/>
          <w:kern w:val="0"/>
          <w:sz w:val="24"/>
          <w:szCs w:val="24"/>
          <w:u w:val="single"/>
          <w:lang w:val="el-GR"/>
          <w14:ligatures w14:val="none"/>
        </w:rPr>
        <w:t>:</w:t>
      </w:r>
      <w:r w:rsidRPr="007A7BC6">
        <w:rPr>
          <w:rFonts w:ascii="Calibri" w:eastAsia="Calibri" w:hAnsi="Calibri" w:cs="Calibri"/>
          <w:bCs w:val="0"/>
          <w:kern w:val="0"/>
          <w:sz w:val="24"/>
          <w:szCs w:val="24"/>
          <w:lang w:val="el-GR"/>
          <w14:ligatures w14:val="none"/>
        </w:rPr>
        <w:t xml:space="preserve"> Σύμφωνα με την ΕΕΤΤ το ποσοστό </w:t>
      </w:r>
      <w:r w:rsidRPr="007A7BC6">
        <w:rPr>
          <w:rFonts w:ascii="Calibri" w:eastAsia="Calibri" w:hAnsi="Calibri" w:cs="Calibri"/>
          <w:bCs w:val="0"/>
          <w:kern w:val="0"/>
          <w:sz w:val="24"/>
          <w:szCs w:val="24"/>
          <w14:ligatures w14:val="none"/>
        </w:rPr>
        <w:t>EPMU</w:t>
      </w:r>
      <w:r w:rsidRPr="007A7BC6">
        <w:rPr>
          <w:rFonts w:ascii="Calibri" w:eastAsia="Calibri" w:hAnsi="Calibri" w:cs="Calibri"/>
          <w:bCs w:val="0"/>
          <w:kern w:val="0"/>
          <w:sz w:val="24"/>
          <w:szCs w:val="24"/>
          <w:lang w:val="el-GR"/>
          <w14:ligatures w14:val="none"/>
        </w:rPr>
        <w:t xml:space="preserve"> 10% που χρησιμοποιήθηκε για τον προσδιορισμό των γενικών εξόδων που δεν συνδέονται με αμιγώς δικτυακά στοιχεία (κοινά κόστη) υπολογίστηκε χρησιμοποιώντας συγκριτική αξιολόγηση (</w:t>
      </w:r>
      <w:r w:rsidRPr="007A7BC6">
        <w:rPr>
          <w:rFonts w:ascii="Calibri" w:eastAsia="Calibri" w:hAnsi="Calibri" w:cs="Calibri"/>
          <w:bCs w:val="0"/>
          <w:kern w:val="0"/>
          <w:sz w:val="24"/>
          <w:szCs w:val="24"/>
          <w14:ligatures w14:val="none"/>
        </w:rPr>
        <w:t>benchmarking</w:t>
      </w:r>
      <w:r w:rsidRPr="007A7BC6">
        <w:rPr>
          <w:rFonts w:ascii="Calibri" w:eastAsia="Calibri" w:hAnsi="Calibri" w:cs="Calibri"/>
          <w:bCs w:val="0"/>
          <w:kern w:val="0"/>
          <w:sz w:val="24"/>
          <w:szCs w:val="24"/>
          <w:lang w:val="el-GR"/>
          <w14:ligatures w14:val="none"/>
        </w:rPr>
        <w:t xml:space="preserve">) μοντέλων άλλων χωρών (Αυστρία, Ελβετία, Κύπρος, Κροατία, Ιταλία, Σερβία, Σλοβακία και Σλοβενία), συνδυαστικά με τα στοιχεία που διέθεσαν οι </w:t>
      </w:r>
      <w:proofErr w:type="spellStart"/>
      <w:r w:rsidRPr="007A7BC6">
        <w:rPr>
          <w:rFonts w:ascii="Calibri" w:eastAsia="Calibri" w:hAnsi="Calibri" w:cs="Calibri"/>
          <w:bCs w:val="0"/>
          <w:kern w:val="0"/>
          <w:sz w:val="24"/>
          <w:szCs w:val="24"/>
          <w:lang w:val="el-GR"/>
          <w14:ligatures w14:val="none"/>
        </w:rPr>
        <w:t>πάροχοι</w:t>
      </w:r>
      <w:proofErr w:type="spellEnd"/>
      <w:r w:rsidRPr="007A7BC6">
        <w:rPr>
          <w:rFonts w:ascii="Calibri" w:eastAsia="Calibri" w:hAnsi="Calibri" w:cs="Calibri"/>
          <w:bCs w:val="0"/>
          <w:kern w:val="0"/>
          <w:sz w:val="24"/>
          <w:szCs w:val="24"/>
          <w:lang w:val="el-GR"/>
          <w14:ligatures w14:val="none"/>
        </w:rPr>
        <w:t xml:space="preserve"> στο πλαίσιο της Δ.Δ. </w:t>
      </w:r>
      <w:r w:rsidRPr="007A7BC6">
        <w:rPr>
          <w:rFonts w:ascii="Calibri" w:eastAsia="Calibri" w:hAnsi="Calibri" w:cs="Calibri"/>
          <w:bCs w:val="0"/>
          <w:kern w:val="0"/>
          <w:sz w:val="24"/>
          <w:szCs w:val="24"/>
          <w14:ligatures w14:val="none"/>
        </w:rPr>
        <w:t>O</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OTE</w:t>
      </w:r>
      <w:r w:rsidRPr="007A7BC6">
        <w:rPr>
          <w:rFonts w:ascii="Calibri" w:eastAsia="Calibri" w:hAnsi="Calibri" w:cs="Calibri"/>
          <w:bCs w:val="0"/>
          <w:kern w:val="0"/>
          <w:sz w:val="24"/>
          <w:szCs w:val="24"/>
          <w:lang w:val="el-GR"/>
          <w14:ligatures w14:val="none"/>
        </w:rPr>
        <w:t xml:space="preserve"> θεωρεί ότι το </w:t>
      </w:r>
      <w:r w:rsidRPr="007A7BC6">
        <w:rPr>
          <w:rFonts w:ascii="Calibri" w:eastAsia="Calibri" w:hAnsi="Calibri" w:cs="Calibri"/>
          <w:bCs w:val="0"/>
          <w:kern w:val="0"/>
          <w:sz w:val="24"/>
          <w:szCs w:val="24"/>
          <w14:ligatures w14:val="none"/>
        </w:rPr>
        <w:t>benchmark</w:t>
      </w:r>
      <w:r w:rsidRPr="007A7BC6">
        <w:rPr>
          <w:rFonts w:ascii="Calibri" w:eastAsia="Calibri" w:hAnsi="Calibri" w:cs="Calibri"/>
          <w:bCs w:val="0"/>
          <w:kern w:val="0"/>
          <w:sz w:val="24"/>
          <w:szCs w:val="24"/>
          <w:lang w:val="el-GR"/>
          <w14:ligatures w14:val="none"/>
        </w:rPr>
        <w:t xml:space="preserve"> είναι αδιαφανές και γενικά είναι άγνωστες οι παραδοχές </w:t>
      </w:r>
      <w:proofErr w:type="spellStart"/>
      <w:r w:rsidRPr="007A7BC6">
        <w:rPr>
          <w:rFonts w:ascii="Calibri" w:eastAsia="Calibri" w:hAnsi="Calibri" w:cs="Calibri"/>
          <w:bCs w:val="0"/>
          <w:kern w:val="0"/>
          <w:sz w:val="24"/>
          <w:szCs w:val="24"/>
          <w:lang w:val="el-GR"/>
          <w14:ligatures w14:val="none"/>
        </w:rPr>
        <w:t>overheads</w:t>
      </w:r>
      <w:proofErr w:type="spellEnd"/>
      <w:r w:rsidRPr="007A7BC6">
        <w:rPr>
          <w:rFonts w:ascii="Calibri" w:eastAsia="Calibri" w:hAnsi="Calibri" w:cs="Calibri"/>
          <w:bCs w:val="0"/>
          <w:kern w:val="0"/>
          <w:sz w:val="24"/>
          <w:szCs w:val="24"/>
          <w:lang w:val="el-GR"/>
          <w14:ligatures w14:val="none"/>
        </w:rPr>
        <w:t xml:space="preserve"> στις διάφορες χώρες. Εκτιμούμε ότι το </w:t>
      </w:r>
      <w:proofErr w:type="spellStart"/>
      <w:r w:rsidRPr="007A7BC6">
        <w:rPr>
          <w:rFonts w:ascii="Calibri" w:eastAsia="Calibri" w:hAnsi="Calibri" w:cs="Calibri"/>
          <w:bCs w:val="0"/>
          <w:kern w:val="0"/>
          <w:sz w:val="24"/>
          <w:szCs w:val="24"/>
          <w:lang w:val="el-GR"/>
          <w14:ligatures w14:val="none"/>
        </w:rPr>
        <w:t>benchmark</w:t>
      </w:r>
      <w:proofErr w:type="spellEnd"/>
      <w:r w:rsidRPr="007A7BC6">
        <w:rPr>
          <w:rFonts w:ascii="Calibri" w:eastAsia="Calibri" w:hAnsi="Calibri" w:cs="Calibri"/>
          <w:bCs w:val="0"/>
          <w:kern w:val="0"/>
          <w:sz w:val="24"/>
          <w:szCs w:val="24"/>
          <w:lang w:val="el-GR"/>
          <w14:ligatures w14:val="none"/>
        </w:rPr>
        <w:t xml:space="preserve"> στο οποίο αναφέρεται η ΕΕΤΤ δεν περιλαμβάνει τα </w:t>
      </w:r>
      <w:proofErr w:type="spellStart"/>
      <w:r w:rsidRPr="007A7BC6">
        <w:rPr>
          <w:rFonts w:ascii="Calibri" w:eastAsia="Calibri" w:hAnsi="Calibri" w:cs="Calibri"/>
          <w:bCs w:val="0"/>
          <w:kern w:val="0"/>
          <w:sz w:val="24"/>
          <w:szCs w:val="24"/>
          <w:lang w:val="el-GR"/>
          <w14:ligatures w14:val="none"/>
        </w:rPr>
        <w:t>Indirect</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Costs</w:t>
      </w:r>
      <w:proofErr w:type="spellEnd"/>
      <w:r w:rsidRPr="007A7BC6">
        <w:rPr>
          <w:rFonts w:ascii="Calibri" w:eastAsia="Calibri" w:hAnsi="Calibri" w:cs="Calibri"/>
          <w:bCs w:val="0"/>
          <w:kern w:val="0"/>
          <w:sz w:val="24"/>
          <w:szCs w:val="24"/>
          <w:lang w:val="el-GR"/>
          <w14:ligatures w14:val="none"/>
        </w:rPr>
        <w:t>. Καθώς η ΕΕΤΤ δεν υπολογίζει χωριστά το ποσοστό των έμμεσων στοιχείων κόστους (</w:t>
      </w:r>
      <w:proofErr w:type="spellStart"/>
      <w:r w:rsidRPr="007A7BC6">
        <w:rPr>
          <w:rFonts w:ascii="Calibri" w:eastAsia="Calibri" w:hAnsi="Calibri" w:cs="Calibri"/>
          <w:bCs w:val="0"/>
          <w:kern w:val="0"/>
          <w:sz w:val="24"/>
          <w:szCs w:val="24"/>
          <w:lang w:val="el-GR"/>
          <w14:ligatures w14:val="none"/>
        </w:rPr>
        <w:t>indirect</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costs</w:t>
      </w:r>
      <w:proofErr w:type="spellEnd"/>
      <w:r w:rsidRPr="007A7BC6">
        <w:rPr>
          <w:rFonts w:ascii="Calibri" w:eastAsia="Calibri" w:hAnsi="Calibri" w:cs="Calibri"/>
          <w:bCs w:val="0"/>
          <w:kern w:val="0"/>
          <w:sz w:val="24"/>
          <w:szCs w:val="24"/>
          <w:lang w:val="el-GR"/>
          <w14:ligatures w14:val="none"/>
        </w:rPr>
        <w:t>), αλλά και δεν το ενσωματώνει στη βάση του EPMU (</w:t>
      </w:r>
      <w:proofErr w:type="spellStart"/>
      <w:r w:rsidRPr="007A7BC6">
        <w:rPr>
          <w:rFonts w:ascii="Calibri" w:eastAsia="Calibri" w:hAnsi="Calibri" w:cs="Calibri"/>
          <w:bCs w:val="0"/>
          <w:kern w:val="0"/>
          <w:sz w:val="24"/>
          <w:szCs w:val="24"/>
          <w:lang w:val="el-GR"/>
          <w14:ligatures w14:val="none"/>
        </w:rPr>
        <w:t>Equi-Proportional</w:t>
      </w:r>
      <w:proofErr w:type="spellEnd"/>
      <w:r w:rsidRPr="007A7BC6">
        <w:rPr>
          <w:rFonts w:ascii="Calibri" w:eastAsia="Calibri" w:hAnsi="Calibri" w:cs="Calibri"/>
          <w:bCs w:val="0"/>
          <w:kern w:val="0"/>
          <w:sz w:val="24"/>
          <w:szCs w:val="24"/>
          <w:lang w:val="el-GR"/>
          <w14:ligatures w14:val="none"/>
        </w:rPr>
        <w:t xml:space="preserve"> Mark-</w:t>
      </w:r>
      <w:proofErr w:type="spellStart"/>
      <w:r w:rsidRPr="007A7BC6">
        <w:rPr>
          <w:rFonts w:ascii="Calibri" w:eastAsia="Calibri" w:hAnsi="Calibri" w:cs="Calibri"/>
          <w:bCs w:val="0"/>
          <w:kern w:val="0"/>
          <w:sz w:val="24"/>
          <w:szCs w:val="24"/>
          <w:lang w:val="el-GR"/>
          <w14:ligatures w14:val="none"/>
        </w:rPr>
        <w:t>Up</w:t>
      </w:r>
      <w:proofErr w:type="spellEnd"/>
      <w:r w:rsidRPr="007A7BC6">
        <w:rPr>
          <w:rFonts w:ascii="Calibri" w:eastAsia="Calibri" w:hAnsi="Calibri" w:cs="Calibri"/>
          <w:bCs w:val="0"/>
          <w:kern w:val="0"/>
          <w:sz w:val="24"/>
          <w:szCs w:val="24"/>
          <w:lang w:val="el-GR"/>
          <w14:ligatures w14:val="none"/>
        </w:rPr>
        <w:t xml:space="preserve">), στο μοντέλο θα πρέπει να συμπεριλάβει σε χωριστό υπολογισμό τα έμμεσα στοιχεία κόστους. Επιπλέον για λόγους σαφήνειας η ΕΕΤΤ θα πρέπει να επιβεβαιώσει και τα στοιχεία κόστους που περιλαμβάνει σε σύγκριση με το αναφερόμενο </w:t>
      </w:r>
      <w:proofErr w:type="spellStart"/>
      <w:r w:rsidRPr="007A7BC6">
        <w:rPr>
          <w:rFonts w:ascii="Calibri" w:eastAsia="Calibri" w:hAnsi="Calibri" w:cs="Calibri"/>
          <w:bCs w:val="0"/>
          <w:kern w:val="0"/>
          <w:sz w:val="24"/>
          <w:szCs w:val="24"/>
          <w:lang w:val="el-GR"/>
          <w14:ligatures w14:val="none"/>
        </w:rPr>
        <w:t>benchmark</w:t>
      </w:r>
      <w:proofErr w:type="spellEnd"/>
      <w:r w:rsidRPr="007A7BC6">
        <w:rPr>
          <w:rFonts w:ascii="Calibri" w:eastAsia="Calibri" w:hAnsi="Calibri" w:cs="Calibri"/>
          <w:bCs w:val="0"/>
          <w:kern w:val="0"/>
          <w:sz w:val="24"/>
          <w:szCs w:val="24"/>
          <w:lang w:val="el-GR"/>
          <w14:ligatures w14:val="none"/>
        </w:rPr>
        <w:t>. Ελλείψει διαφάνειας ο ΟΤΕ προτείνεται να χρησιμοποιηθούν τα στοιχεία της Ελληνικής αγοράς και κυρίως του ΟΤΕ που είναι τα μόνα ελεγμένα στοιχεία, όπως αυτά που υποβάλει στο ΕΚΟΣ και ελέγχονται από ανεξάρτητο ελεγκτή. Συγκεκριμένα τα πλέον πρόσφατα στοιχεία που έχει διαθέσιμα ο ΟΤΕ και η ΕΕΤΤ αφορούν ανάλυση του κόστους της CTS με βάση το απολογιστικό Ε.ΚΟ.Σ 2023, σύμφωνα με τα οποία το κοινό κόστος (</w:t>
      </w:r>
      <w:r w:rsidRPr="007A7BC6">
        <w:rPr>
          <w:rFonts w:ascii="Calibri" w:eastAsia="Calibri" w:hAnsi="Calibri" w:cs="Calibri"/>
          <w:bCs w:val="0"/>
          <w:kern w:val="0"/>
          <w:sz w:val="24"/>
          <w:szCs w:val="24"/>
          <w14:ligatures w14:val="none"/>
        </w:rPr>
        <w:t>overheads</w:t>
      </w:r>
      <w:r w:rsidRPr="007A7BC6">
        <w:rPr>
          <w:rFonts w:ascii="Calibri" w:eastAsia="Calibri" w:hAnsi="Calibri" w:cs="Calibri"/>
          <w:bCs w:val="0"/>
          <w:kern w:val="0"/>
          <w:sz w:val="24"/>
          <w:szCs w:val="24"/>
          <w:lang w:val="el-GR"/>
          <w14:ligatures w14:val="none"/>
        </w:rPr>
        <w:t xml:space="preserve">) είναι </w:t>
      </w:r>
      <w:r w:rsidR="00541C0C">
        <w:rPr>
          <w:rFonts w:ascii="Calibri" w:eastAsia="Calibri" w:hAnsi="Calibri" w:cs="Calibri"/>
          <w:bCs w:val="0"/>
          <w:kern w:val="0"/>
          <w:sz w:val="24"/>
          <w:szCs w:val="24"/>
          <w:lang w:val="el-GR"/>
          <w14:ligatures w14:val="none"/>
        </w:rPr>
        <w:sym w:font="Wingdings" w:char="F022"/>
      </w:r>
      <w:r w:rsidR="002271A7" w:rsidRPr="002271A7">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lang w:val="el-GR"/>
          <w14:ligatures w14:val="none"/>
        </w:rPr>
        <w:t>και το έμμεσο κόστος (</w:t>
      </w:r>
      <w:r w:rsidRPr="007A7BC6">
        <w:rPr>
          <w:rFonts w:ascii="Calibri" w:eastAsia="Calibri" w:hAnsi="Calibri" w:cs="Calibri"/>
          <w:bCs w:val="0"/>
          <w:kern w:val="0"/>
          <w:sz w:val="24"/>
          <w:szCs w:val="24"/>
          <w14:ligatures w14:val="none"/>
        </w:rPr>
        <w:t>indirect</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costs</w:t>
      </w:r>
      <w:r w:rsidRPr="007A7BC6">
        <w:rPr>
          <w:rFonts w:ascii="Calibri" w:eastAsia="Calibri" w:hAnsi="Calibri" w:cs="Calibri"/>
          <w:bCs w:val="0"/>
          <w:kern w:val="0"/>
          <w:sz w:val="24"/>
          <w:szCs w:val="24"/>
          <w:lang w:val="el-GR"/>
          <w14:ligatures w14:val="none"/>
        </w:rPr>
        <w:t xml:space="preserve">) </w:t>
      </w:r>
      <w:r w:rsidR="00541C0C">
        <w:rPr>
          <w:rFonts w:ascii="Calibri" w:eastAsia="Calibri" w:hAnsi="Calibri" w:cs="Calibri"/>
          <w:bCs w:val="0"/>
          <w:kern w:val="0"/>
          <w:sz w:val="24"/>
          <w:szCs w:val="24"/>
          <w:lang w:val="el-GR"/>
          <w14:ligatures w14:val="none"/>
        </w:rPr>
        <w:sym w:font="Wingdings" w:char="F022"/>
      </w:r>
      <w:r w:rsidR="00F1499C">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lang w:val="el-GR"/>
          <w14:ligatures w14:val="none"/>
        </w:rPr>
        <w:t xml:space="preserve">, που θα πρέπει να εφαρμοστεί: (α) ως </w:t>
      </w:r>
      <w:r w:rsidRPr="007A7BC6">
        <w:rPr>
          <w:rFonts w:ascii="Calibri" w:eastAsia="Calibri" w:hAnsi="Calibri" w:cs="Calibri"/>
          <w:bCs w:val="0"/>
          <w:kern w:val="0"/>
          <w:sz w:val="24"/>
          <w:szCs w:val="24"/>
          <w14:ligatures w14:val="none"/>
        </w:rPr>
        <w:t>overhead</w:t>
      </w:r>
      <w:r w:rsidRPr="007A7BC6">
        <w:rPr>
          <w:rFonts w:ascii="Calibri" w:eastAsia="Calibri" w:hAnsi="Calibri" w:cs="Calibri"/>
          <w:bCs w:val="0"/>
          <w:kern w:val="0"/>
          <w:sz w:val="24"/>
          <w:szCs w:val="24"/>
          <w:lang w:val="el-GR"/>
          <w14:ligatures w14:val="none"/>
        </w:rPr>
        <w:t xml:space="preserve"> στο </w:t>
      </w:r>
      <w:proofErr w:type="spellStart"/>
      <w:r w:rsidRPr="007A7BC6">
        <w:rPr>
          <w:rFonts w:ascii="Calibri" w:eastAsia="Calibri" w:hAnsi="Calibri" w:cs="Calibri"/>
          <w:bCs w:val="0"/>
          <w:kern w:val="0"/>
          <w:sz w:val="24"/>
          <w:szCs w:val="24"/>
          <w14:ligatures w14:val="none"/>
        </w:rPr>
        <w:t>labour</w:t>
      </w:r>
      <w:proofErr w:type="spellEnd"/>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cost</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min</w:t>
      </w:r>
      <w:r w:rsidRPr="007A7BC6">
        <w:rPr>
          <w:rFonts w:ascii="Calibri" w:eastAsia="Calibri" w:hAnsi="Calibri" w:cs="Calibri"/>
          <w:bCs w:val="0"/>
          <w:kern w:val="0"/>
          <w:sz w:val="24"/>
          <w:szCs w:val="24"/>
          <w:lang w:val="el-GR"/>
          <w14:ligatures w14:val="none"/>
        </w:rPr>
        <w:t xml:space="preserve"> στα </w:t>
      </w:r>
      <w:r w:rsidRPr="007A7BC6">
        <w:rPr>
          <w:rFonts w:ascii="Calibri" w:eastAsia="Calibri" w:hAnsi="Calibri" w:cs="Calibri"/>
          <w:bCs w:val="0"/>
          <w:kern w:val="0"/>
          <w:sz w:val="24"/>
          <w:szCs w:val="24"/>
          <w14:ligatures w14:val="none"/>
        </w:rPr>
        <w:t>one</w:t>
      </w:r>
      <w:r w:rsidRPr="007A7BC6">
        <w:rPr>
          <w:rFonts w:ascii="Calibri" w:eastAsia="Calibri" w:hAnsi="Calibri" w:cs="Calibri"/>
          <w:bCs w:val="0"/>
          <w:kern w:val="0"/>
          <w:sz w:val="24"/>
          <w:szCs w:val="24"/>
          <w:lang w:val="el-GR"/>
          <w14:ligatures w14:val="none"/>
        </w:rPr>
        <w:t>-</w:t>
      </w:r>
      <w:r w:rsidRPr="007A7BC6">
        <w:rPr>
          <w:rFonts w:ascii="Calibri" w:eastAsia="Calibri" w:hAnsi="Calibri" w:cs="Calibri"/>
          <w:bCs w:val="0"/>
          <w:kern w:val="0"/>
          <w:sz w:val="24"/>
          <w:szCs w:val="24"/>
          <w14:ligatures w14:val="none"/>
        </w:rPr>
        <w:t>off</w:t>
      </w:r>
      <w:r w:rsidRPr="007A7BC6">
        <w:rPr>
          <w:rFonts w:ascii="Calibri" w:eastAsia="Calibri" w:hAnsi="Calibri" w:cs="Calibri"/>
          <w:bCs w:val="0"/>
          <w:kern w:val="0"/>
          <w:sz w:val="24"/>
          <w:szCs w:val="24"/>
          <w:lang w:val="el-GR"/>
          <w14:ligatures w14:val="none"/>
        </w:rPr>
        <w:t xml:space="preserve"> και (β) στα </w:t>
      </w:r>
      <w:r w:rsidRPr="007A7BC6">
        <w:rPr>
          <w:rFonts w:ascii="Calibri" w:eastAsia="Calibri" w:hAnsi="Calibri" w:cs="Calibri"/>
          <w:bCs w:val="0"/>
          <w:kern w:val="0"/>
          <w:sz w:val="24"/>
          <w:szCs w:val="24"/>
          <w14:ligatures w14:val="none"/>
        </w:rPr>
        <w:t>unit</w:t>
      </w:r>
      <w:r w:rsidRPr="007A7BC6">
        <w:rPr>
          <w:rFonts w:ascii="Calibri" w:eastAsia="Calibri" w:hAnsi="Calibri" w:cs="Calibri"/>
          <w:bCs w:val="0"/>
          <w:kern w:val="0"/>
          <w:sz w:val="24"/>
          <w:szCs w:val="24"/>
          <w:lang w:val="el-GR"/>
          <w14:ligatures w14:val="none"/>
        </w:rPr>
        <w:t>-</w:t>
      </w:r>
      <w:r w:rsidRPr="007A7BC6">
        <w:rPr>
          <w:rFonts w:ascii="Calibri" w:eastAsia="Calibri" w:hAnsi="Calibri" w:cs="Calibri"/>
          <w:bCs w:val="0"/>
          <w:kern w:val="0"/>
          <w:sz w:val="24"/>
          <w:szCs w:val="24"/>
          <w14:ligatures w14:val="none"/>
        </w:rPr>
        <w:t>costs</w:t>
      </w:r>
      <w:r w:rsidRPr="007A7BC6">
        <w:rPr>
          <w:rFonts w:ascii="Calibri" w:eastAsia="Calibri" w:hAnsi="Calibri" w:cs="Calibri"/>
          <w:bCs w:val="0"/>
          <w:kern w:val="0"/>
          <w:sz w:val="24"/>
          <w:szCs w:val="24"/>
          <w:lang w:val="el-GR"/>
          <w14:ligatures w14:val="none"/>
        </w:rPr>
        <w:t>-</w:t>
      </w:r>
      <w:r w:rsidRPr="007A7BC6">
        <w:rPr>
          <w:rFonts w:ascii="Calibri" w:eastAsia="Calibri" w:hAnsi="Calibri" w:cs="Calibri"/>
          <w:bCs w:val="0"/>
          <w:kern w:val="0"/>
          <w:sz w:val="24"/>
          <w:szCs w:val="24"/>
          <w14:ligatures w14:val="none"/>
        </w:rPr>
        <w:t>capex</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bill</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of</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materials</w:t>
      </w:r>
      <w:r w:rsidRPr="007A7BC6">
        <w:rPr>
          <w:rFonts w:ascii="Calibri" w:eastAsia="Calibri" w:hAnsi="Calibri" w:cs="Calibri"/>
          <w:bCs w:val="0"/>
          <w:kern w:val="0"/>
          <w:sz w:val="24"/>
          <w:szCs w:val="24"/>
          <w:lang w:val="el-GR"/>
          <w14:ligatures w14:val="none"/>
        </w:rPr>
        <w:t>).</w:t>
      </w:r>
    </w:p>
    <w:p w14:paraId="3A40838E" w14:textId="77777777" w:rsidR="007A7BC6" w:rsidRPr="007A7BC6" w:rsidRDefault="007A7BC6" w:rsidP="00034FBB">
      <w:pPr>
        <w:widowControl w:val="0"/>
        <w:numPr>
          <w:ilvl w:val="0"/>
          <w:numId w:val="12"/>
        </w:numPr>
        <w:autoSpaceDE w:val="0"/>
        <w:autoSpaceDN w:val="0"/>
        <w:spacing w:after="240" w:line="360" w:lineRule="atLeast"/>
        <w:ind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u w:val="single"/>
          <w:lang w:val="el-GR"/>
          <w14:ligatures w14:val="none"/>
        </w:rPr>
        <w:t xml:space="preserve">Κοστολόγηση υπηρεσίας </w:t>
      </w:r>
      <w:r w:rsidRPr="007A7BC6">
        <w:rPr>
          <w:rFonts w:ascii="Calibri" w:eastAsia="Calibri" w:hAnsi="Calibri" w:cs="Calibri"/>
          <w:bCs w:val="0"/>
          <w:kern w:val="0"/>
          <w:sz w:val="24"/>
          <w:szCs w:val="24"/>
          <w:u w:val="single"/>
          <w14:ligatures w14:val="none"/>
        </w:rPr>
        <w:t>SLU</w:t>
      </w:r>
      <w:r w:rsidRPr="007A7BC6">
        <w:rPr>
          <w:rFonts w:ascii="Calibri" w:eastAsia="Calibri" w:hAnsi="Calibri" w:cs="Calibri"/>
          <w:bCs w:val="0"/>
          <w:kern w:val="0"/>
          <w:sz w:val="24"/>
          <w:szCs w:val="24"/>
          <w:u w:val="single"/>
          <w:lang w:val="el-GR"/>
          <w14:ligatures w14:val="none"/>
        </w:rPr>
        <w:t xml:space="preserve">: </w:t>
      </w:r>
      <w:r w:rsidRPr="007A7BC6">
        <w:rPr>
          <w:rFonts w:ascii="Calibri" w:eastAsia="Calibri" w:hAnsi="Calibri" w:cs="Calibri"/>
          <w:bCs w:val="0"/>
          <w:kern w:val="0"/>
          <w:sz w:val="24"/>
          <w:szCs w:val="24"/>
          <w:lang w:val="el-GR"/>
          <w14:ligatures w14:val="none"/>
        </w:rPr>
        <w:t xml:space="preserve">θα έπρεπε να κοστολογείται και μέρος του </w:t>
      </w:r>
      <w:r w:rsidRPr="007A7BC6">
        <w:rPr>
          <w:rFonts w:ascii="Calibri" w:eastAsia="Calibri" w:hAnsi="Calibri" w:cs="Calibri"/>
          <w:bCs w:val="0"/>
          <w:kern w:val="0"/>
          <w:sz w:val="24"/>
          <w:szCs w:val="24"/>
          <w14:ligatures w14:val="none"/>
        </w:rPr>
        <w:t>feeder</w:t>
      </w:r>
      <w:r w:rsidRPr="007A7BC6">
        <w:rPr>
          <w:rFonts w:ascii="Calibri" w:eastAsia="Calibri" w:hAnsi="Calibri" w:cs="Calibri"/>
          <w:bCs w:val="0"/>
          <w:kern w:val="0"/>
          <w:sz w:val="24"/>
          <w:szCs w:val="24"/>
          <w:lang w:val="el-GR"/>
          <w14:ligatures w14:val="none"/>
        </w:rPr>
        <w:t xml:space="preserve"> χαλκού από την καμπίνα προς το ΑΚ καθώς είναι τμήμα του δικτύου χαλκού που συντηρείται στο σύνολό του.</w:t>
      </w:r>
    </w:p>
    <w:p w14:paraId="5803BEDE" w14:textId="77777777" w:rsidR="007A7BC6" w:rsidRPr="007A7BC6" w:rsidRDefault="007A7BC6" w:rsidP="00034FBB">
      <w:pPr>
        <w:widowControl w:val="0"/>
        <w:numPr>
          <w:ilvl w:val="0"/>
          <w:numId w:val="12"/>
        </w:numPr>
        <w:autoSpaceDE w:val="0"/>
        <w:autoSpaceDN w:val="0"/>
        <w:spacing w:after="240" w:line="360" w:lineRule="atLeast"/>
        <w:ind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u w:val="single"/>
          <w:lang w:val="el-GR"/>
          <w14:ligatures w14:val="none"/>
        </w:rPr>
        <w:t xml:space="preserve"> Γεωγραφικό Μοντέλο:</w:t>
      </w:r>
      <w:r w:rsidRPr="007A7BC6">
        <w:rPr>
          <w:rFonts w:ascii="Calibri" w:eastAsia="Calibri" w:hAnsi="Calibri" w:cs="Calibri"/>
          <w:bCs w:val="0"/>
          <w:kern w:val="0"/>
          <w:sz w:val="24"/>
          <w:szCs w:val="24"/>
          <w:lang w:val="el-GR"/>
          <w14:ligatures w14:val="none"/>
        </w:rPr>
        <w:t xml:space="preserve"> Από την ανάλυση των αποτελεσμάτων που παραθέτουμε προκύπτει ότι το γεωγραφικό μοντέλο που έχει αναπτυχθεί υποεκτιμά σημαντικά τόσο τα μήκη όσο και το πλήθος καλωδίων που χρησιμοποιούνται και αυτό αφορά όλα τα δίκτυα (χαλκού, </w:t>
      </w:r>
      <w:r w:rsidRPr="007A7BC6">
        <w:rPr>
          <w:rFonts w:ascii="Calibri" w:eastAsia="Calibri" w:hAnsi="Calibri" w:cs="Calibri"/>
          <w:bCs w:val="0"/>
          <w:kern w:val="0"/>
          <w:sz w:val="24"/>
          <w:szCs w:val="24"/>
          <w14:ligatures w14:val="none"/>
        </w:rPr>
        <w:t>FTTC</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FTTH</w:t>
      </w:r>
      <w:r w:rsidRPr="007A7BC6">
        <w:rPr>
          <w:rFonts w:ascii="Calibri" w:eastAsia="Calibri" w:hAnsi="Calibri" w:cs="Calibri"/>
          <w:bCs w:val="0"/>
          <w:kern w:val="0"/>
          <w:sz w:val="24"/>
          <w:szCs w:val="24"/>
          <w:lang w:val="el-GR"/>
          <w14:ligatures w14:val="none"/>
        </w:rPr>
        <w:t>) και κατά συνέπεια το αντίστοιχο κόστος.</w:t>
      </w:r>
    </w:p>
    <w:p w14:paraId="22BE3426" w14:textId="2D84E6ED" w:rsidR="007A7BC6" w:rsidRPr="007A7BC6" w:rsidRDefault="007A7BC6" w:rsidP="007A7BC6">
      <w:pPr>
        <w:widowControl w:val="0"/>
        <w:autoSpaceDE w:val="0"/>
        <w:autoSpaceDN w:val="0"/>
        <w:spacing w:after="240" w:line="360" w:lineRule="atLeast"/>
        <w:ind w:left="36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Ακολουθούν τα αναλυτικά σχόλια μας επί του κειμένου της Δημόσιας Διαβούλευσης που εξειδικεύουν και τα ανωτέρω.</w:t>
      </w:r>
      <w:r w:rsidR="00B41C9C" w:rsidRPr="00073E36">
        <w:rPr>
          <w:rFonts w:ascii="Calibri" w:eastAsia="Calibri" w:hAnsi="Calibri" w:cs="Calibri"/>
          <w:bCs w:val="0"/>
          <w:kern w:val="0"/>
          <w:sz w:val="24"/>
          <w:szCs w:val="24"/>
          <w:lang w:val="el-GR"/>
          <w14:ligatures w14:val="none"/>
        </w:rPr>
        <w:t xml:space="preserve"> </w:t>
      </w:r>
      <w:r w:rsidR="00B41C9C">
        <w:rPr>
          <w:rFonts w:ascii="Calibri" w:eastAsia="Calibri" w:hAnsi="Calibri" w:cs="Calibri"/>
          <w:bCs w:val="0"/>
          <w:kern w:val="0"/>
          <w:sz w:val="24"/>
          <w:szCs w:val="24"/>
          <w:lang w:val="el-GR"/>
          <w14:ligatures w14:val="none"/>
        </w:rPr>
        <w:sym w:font="Wingdings" w:char="F022"/>
      </w:r>
    </w:p>
    <w:p w14:paraId="75E3660D" w14:textId="77777777" w:rsidR="007A7BC6" w:rsidRPr="007A7BC6" w:rsidRDefault="007A7BC6" w:rsidP="007A7BC6">
      <w:pPr>
        <w:widowControl w:val="0"/>
        <w:autoSpaceDE w:val="0"/>
        <w:autoSpaceDN w:val="0"/>
        <w:spacing w:after="240" w:line="360" w:lineRule="atLeast"/>
        <w:ind w:left="36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Είμαστε στη διάθεσή σας για κάθε διευκρίνηση,</w:t>
      </w:r>
      <w:r w:rsidRPr="007A7BC6">
        <w:rPr>
          <w:rFonts w:ascii="Calibri" w:eastAsia="Calibri" w:hAnsi="Calibri" w:cs="Calibri"/>
          <w:bCs w:val="0"/>
          <w:kern w:val="0"/>
          <w:sz w:val="24"/>
          <w:szCs w:val="24"/>
          <w:u w:val="single"/>
          <w:lang w:val="el-GR"/>
          <w14:ligatures w14:val="none"/>
        </w:rPr>
        <w:t xml:space="preserve"> </w:t>
      </w:r>
    </w:p>
    <w:p w14:paraId="2FCEEF2B" w14:textId="77777777" w:rsidR="007A7BC6" w:rsidRPr="007A7BC6" w:rsidRDefault="007A7BC6" w:rsidP="007A7BC6">
      <w:pPr>
        <w:widowControl w:val="0"/>
        <w:autoSpaceDE w:val="0"/>
        <w:autoSpaceDN w:val="0"/>
        <w:spacing w:after="240" w:line="360" w:lineRule="atLeast"/>
        <w:ind w:left="36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Μετά τιμής, </w:t>
      </w:r>
    </w:p>
    <w:p w14:paraId="30BA1492" w14:textId="77777777" w:rsidR="007A7BC6" w:rsidRPr="007A7BC6" w:rsidRDefault="007A7BC6" w:rsidP="007A7BC6">
      <w:pPr>
        <w:spacing w:after="160" w:line="259" w:lineRule="auto"/>
        <w:ind w:left="360" w:right="0"/>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lastRenderedPageBreak/>
        <w:t>Γιώργος Σταθόπουλος</w:t>
      </w:r>
    </w:p>
    <w:p w14:paraId="6DB3F79C" w14:textId="77777777" w:rsidR="007A7BC6" w:rsidRPr="007A7BC6" w:rsidRDefault="007A7BC6" w:rsidP="007A7BC6">
      <w:pPr>
        <w:spacing w:after="160" w:line="259" w:lineRule="auto"/>
        <w:ind w:left="360" w:right="0"/>
        <w:rPr>
          <w:rFonts w:ascii="Calibri" w:eastAsia="Calibri" w:hAnsi="Calibri" w:cs="Calibri"/>
          <w:bCs w:val="0"/>
          <w:kern w:val="0"/>
          <w:sz w:val="24"/>
          <w:szCs w:val="24"/>
          <w:lang w:val="el-GR"/>
          <w14:ligatures w14:val="none"/>
        </w:rPr>
      </w:pPr>
    </w:p>
    <w:p w14:paraId="5FF80AE1" w14:textId="77777777" w:rsidR="00540AEC" w:rsidRPr="00020A39" w:rsidRDefault="007A7BC6" w:rsidP="007A7BC6">
      <w:pPr>
        <w:spacing w:after="160" w:line="259" w:lineRule="auto"/>
        <w:ind w:left="360" w:right="0"/>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14:ligatures w14:val="none"/>
        </w:rPr>
        <w:t>Director</w:t>
      </w:r>
      <w:r w:rsidRPr="007A7BC6">
        <w:rPr>
          <w:rFonts w:ascii="Calibri" w:eastAsia="Calibri" w:hAnsi="Calibri" w:cs="Calibri"/>
          <w:bCs w:val="0"/>
          <w:kern w:val="0"/>
          <w:sz w:val="24"/>
          <w:szCs w:val="24"/>
          <w:lang w:val="el-GR"/>
          <w14:ligatures w14:val="none"/>
        </w:rPr>
        <w:t xml:space="preserve"> Ρυθμιστικών Θεμάτων</w:t>
      </w:r>
    </w:p>
    <w:p w14:paraId="2C2EFBF5" w14:textId="32F44496" w:rsidR="007A7BC6" w:rsidRPr="007A7BC6" w:rsidRDefault="007A7BC6" w:rsidP="007A7BC6">
      <w:pPr>
        <w:spacing w:after="160" w:line="259" w:lineRule="auto"/>
        <w:ind w:left="360" w:right="0"/>
        <w:rPr>
          <w:rFonts w:asciiTheme="majorHAnsi" w:eastAsiaTheme="majorEastAsia" w:hAnsiTheme="majorHAnsi" w:cstheme="majorBidi"/>
          <w:bCs w:val="0"/>
          <w:color w:val="0F4761" w:themeColor="accent1" w:themeShade="BF"/>
          <w:kern w:val="0"/>
          <w:sz w:val="40"/>
          <w:szCs w:val="40"/>
          <w:lang w:val="el-GR"/>
          <w14:ligatures w14:val="none"/>
        </w:rPr>
      </w:pPr>
      <w:r w:rsidRPr="007A7BC6">
        <w:rPr>
          <w:rFonts w:ascii="Calibri" w:eastAsia="Calibri" w:hAnsi="Calibri" w:cs="Calibri"/>
          <w:bCs w:val="0"/>
          <w:kern w:val="0"/>
          <w:sz w:val="24"/>
          <w:szCs w:val="24"/>
          <w:lang w:val="el-GR"/>
          <w14:ligatures w14:val="none"/>
        </w:rPr>
        <w:br w:type="page"/>
      </w:r>
    </w:p>
    <w:p w14:paraId="2184A937" w14:textId="77777777" w:rsidR="007A7BC6" w:rsidRPr="007A7BC6" w:rsidRDefault="007A7BC6" w:rsidP="007A7BC6">
      <w:pPr>
        <w:keepNext/>
        <w:keepLines/>
        <w:widowControl w:val="0"/>
        <w:autoSpaceDE w:val="0"/>
        <w:autoSpaceDN w:val="0"/>
        <w:spacing w:before="360" w:after="80" w:line="360" w:lineRule="atLeast"/>
        <w:ind w:left="0" w:right="0"/>
        <w:jc w:val="both"/>
        <w:outlineLvl w:val="0"/>
        <w:rPr>
          <w:rFonts w:asciiTheme="majorHAnsi" w:eastAsiaTheme="majorEastAsia" w:hAnsiTheme="majorHAnsi" w:cstheme="majorBidi"/>
          <w:bCs w:val="0"/>
          <w:color w:val="0F4761" w:themeColor="accent1" w:themeShade="BF"/>
          <w:kern w:val="0"/>
          <w:sz w:val="40"/>
          <w:szCs w:val="40"/>
          <w:lang w:val="el-GR"/>
          <w14:ligatures w14:val="none"/>
        </w:rPr>
      </w:pPr>
      <w:r w:rsidRPr="007A7BC6">
        <w:rPr>
          <w:rFonts w:asciiTheme="majorHAnsi" w:eastAsiaTheme="majorEastAsia" w:hAnsiTheme="majorHAnsi" w:cstheme="majorBidi"/>
          <w:bCs w:val="0"/>
          <w:color w:val="0F4761" w:themeColor="accent1" w:themeShade="BF"/>
          <w:kern w:val="0"/>
          <w:sz w:val="40"/>
          <w:szCs w:val="40"/>
          <w:lang w:val="el-GR"/>
          <w14:ligatures w14:val="none"/>
        </w:rPr>
        <w:lastRenderedPageBreak/>
        <w:t>Σχόλια επί του Κειμένου της Διαβούλευσης</w:t>
      </w:r>
    </w:p>
    <w:p w14:paraId="795C7A32" w14:textId="77777777" w:rsidR="007A7BC6" w:rsidRPr="007A7BC6" w:rsidRDefault="007A7BC6" w:rsidP="007A7BC6">
      <w:pPr>
        <w:keepNext/>
        <w:keepLines/>
        <w:widowControl w:val="0"/>
        <w:autoSpaceDE w:val="0"/>
        <w:autoSpaceDN w:val="0"/>
        <w:spacing w:before="160" w:after="80" w:line="360" w:lineRule="atLeast"/>
        <w:ind w:left="360" w:right="0" w:hanging="360"/>
        <w:jc w:val="both"/>
        <w:outlineLvl w:val="1"/>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Μερίδιο Αγοράς Αποδοτικού </w:t>
      </w:r>
      <w:proofErr w:type="spellStart"/>
      <w:r w:rsidRPr="007A7BC6">
        <w:rPr>
          <w:rFonts w:asciiTheme="majorHAnsi" w:eastAsiaTheme="majorEastAsia" w:hAnsiTheme="majorHAnsi" w:cstheme="majorBidi"/>
          <w:bCs w:val="0"/>
          <w:color w:val="0F4761" w:themeColor="accent1" w:themeShade="BF"/>
          <w:kern w:val="0"/>
          <w:sz w:val="28"/>
          <w:szCs w:val="28"/>
          <w:lang w:val="el-GR"/>
          <w14:ligatures w14:val="none"/>
        </w:rPr>
        <w:t>Παρόχου</w:t>
      </w:r>
      <w:proofErr w:type="spellEnd"/>
    </w:p>
    <w:p w14:paraId="6BC8BA7C"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Αναφορικά με τον υπολογισμό του μεριδίου αγοράς FTTH η ΕΕΤΤ αναφέρει ότι χρησιμοποίησε τα στοιχεία ζήτησης λιανικής και χονδρικής των υπηρεσιών ανά </w:t>
      </w:r>
      <w:proofErr w:type="spellStart"/>
      <w:r w:rsidRPr="007A7BC6">
        <w:rPr>
          <w:rFonts w:ascii="Calibri" w:eastAsia="Calibri" w:hAnsi="Calibri" w:cs="Calibri"/>
          <w:bCs w:val="0"/>
          <w:kern w:val="0"/>
          <w:sz w:val="24"/>
          <w:szCs w:val="24"/>
          <w:lang w:val="el-GR"/>
          <w14:ligatures w14:val="none"/>
        </w:rPr>
        <w:t>πάροχο</w:t>
      </w:r>
      <w:proofErr w:type="spellEnd"/>
      <w:r w:rsidRPr="007A7BC6">
        <w:rPr>
          <w:rFonts w:ascii="Calibri" w:eastAsia="Calibri" w:hAnsi="Calibri" w:cs="Calibri"/>
          <w:bCs w:val="0"/>
          <w:kern w:val="0"/>
          <w:sz w:val="24"/>
          <w:szCs w:val="24"/>
          <w:lang w:val="el-GR"/>
          <w14:ligatures w14:val="none"/>
        </w:rPr>
        <w:t xml:space="preserve"> και ανά ΑΚ έως το τέλος του 2024 και σύμφωνα με τα στοιχεία αυτά ο αποδοτικός </w:t>
      </w:r>
      <w:proofErr w:type="spellStart"/>
      <w:r w:rsidRPr="007A7BC6">
        <w:rPr>
          <w:rFonts w:ascii="Calibri" w:eastAsia="Calibri" w:hAnsi="Calibri" w:cs="Calibri"/>
          <w:bCs w:val="0"/>
          <w:kern w:val="0"/>
          <w:sz w:val="24"/>
          <w:szCs w:val="24"/>
          <w:lang w:val="el-GR"/>
          <w14:ligatures w14:val="none"/>
        </w:rPr>
        <w:t>πάροχος</w:t>
      </w:r>
      <w:proofErr w:type="spellEnd"/>
      <w:r w:rsidRPr="007A7BC6">
        <w:rPr>
          <w:rFonts w:ascii="Calibri" w:eastAsia="Calibri" w:hAnsi="Calibri" w:cs="Calibri"/>
          <w:bCs w:val="0"/>
          <w:kern w:val="0"/>
          <w:sz w:val="24"/>
          <w:szCs w:val="24"/>
          <w:lang w:val="el-GR"/>
          <w14:ligatures w14:val="none"/>
        </w:rPr>
        <w:t xml:space="preserve"> το 2024 κατείχε 100% της αγοράς </w:t>
      </w:r>
      <w:r w:rsidRPr="007A7BC6">
        <w:rPr>
          <w:rFonts w:ascii="Calibri" w:eastAsia="Calibri" w:hAnsi="Calibri" w:cs="Calibri"/>
          <w:bCs w:val="0"/>
          <w:kern w:val="0"/>
          <w:sz w:val="24"/>
          <w:szCs w:val="24"/>
          <w14:ligatures w14:val="none"/>
        </w:rPr>
        <w:t>FTTH</w:t>
      </w:r>
      <w:r w:rsidRPr="007A7BC6">
        <w:rPr>
          <w:rFonts w:ascii="Calibri" w:eastAsia="Calibri" w:hAnsi="Calibri" w:cs="Calibri"/>
          <w:bCs w:val="0"/>
          <w:kern w:val="0"/>
          <w:sz w:val="24"/>
          <w:szCs w:val="24"/>
          <w:lang w:val="el-GR"/>
          <w14:ligatures w14:val="none"/>
        </w:rPr>
        <w:t xml:space="preserve">. Επιπλέον, λαμβάνοντας υπόψη τα επενδυτικά σχέδια FTTH των </w:t>
      </w:r>
      <w:proofErr w:type="spellStart"/>
      <w:r w:rsidRPr="007A7BC6">
        <w:rPr>
          <w:rFonts w:ascii="Calibri" w:eastAsia="Calibri" w:hAnsi="Calibri" w:cs="Calibri"/>
          <w:bCs w:val="0"/>
          <w:kern w:val="0"/>
          <w:sz w:val="24"/>
          <w:szCs w:val="24"/>
          <w:lang w:val="el-GR"/>
          <w14:ligatures w14:val="none"/>
        </w:rPr>
        <w:t>παρόχων</w:t>
      </w:r>
      <w:proofErr w:type="spellEnd"/>
      <w:r w:rsidRPr="007A7BC6">
        <w:rPr>
          <w:rFonts w:ascii="Calibri" w:eastAsia="Calibri" w:hAnsi="Calibri" w:cs="Calibri"/>
          <w:bCs w:val="0"/>
          <w:kern w:val="0"/>
          <w:sz w:val="24"/>
          <w:szCs w:val="24"/>
          <w:lang w:val="el-GR"/>
          <w14:ligatures w14:val="none"/>
        </w:rPr>
        <w:t xml:space="preserve"> και εφαρμόζοντας έναν υπολογιστικό τύπο με κατ’ ανάγκην παραδοχές – καθώς δεν καθορίζει ούτε ποιο θα είναι το ποσοστό </w:t>
      </w:r>
      <w:proofErr w:type="spellStart"/>
      <w:r w:rsidRPr="007A7BC6">
        <w:rPr>
          <w:rFonts w:ascii="Calibri" w:eastAsia="Calibri" w:hAnsi="Calibri" w:cs="Calibri"/>
          <w:bCs w:val="0"/>
          <w:kern w:val="0"/>
          <w:sz w:val="24"/>
          <w:szCs w:val="24"/>
          <w:lang w:val="el-GR"/>
          <w14:ligatures w14:val="none"/>
        </w:rPr>
        <w:t>αυτοπαροχής</w:t>
      </w:r>
      <w:proofErr w:type="spellEnd"/>
      <w:r w:rsidRPr="007A7BC6">
        <w:rPr>
          <w:rFonts w:ascii="Calibri" w:eastAsia="Calibri" w:hAnsi="Calibri" w:cs="Calibri"/>
          <w:bCs w:val="0"/>
          <w:kern w:val="0"/>
          <w:sz w:val="24"/>
          <w:szCs w:val="24"/>
          <w:lang w:val="el-GR"/>
          <w14:ligatures w14:val="none"/>
        </w:rPr>
        <w:t xml:space="preserve"> ούτε πως προκύπτει το 50% χονδρικής – κατέληξε ότι το συνολικό μερίδιο αγοράς του υποθετικά αποδοτικού </w:t>
      </w:r>
      <w:proofErr w:type="spellStart"/>
      <w:r w:rsidRPr="007A7BC6">
        <w:rPr>
          <w:rFonts w:ascii="Calibri" w:eastAsia="Calibri" w:hAnsi="Calibri" w:cs="Calibri"/>
          <w:bCs w:val="0"/>
          <w:kern w:val="0"/>
          <w:sz w:val="24"/>
          <w:szCs w:val="24"/>
          <w:lang w:val="el-GR"/>
          <w14:ligatures w14:val="none"/>
        </w:rPr>
        <w:t>παρόχου</w:t>
      </w:r>
      <w:proofErr w:type="spellEnd"/>
      <w:r w:rsidRPr="007A7BC6">
        <w:rPr>
          <w:rFonts w:ascii="Calibri" w:eastAsia="Calibri" w:hAnsi="Calibri" w:cs="Calibri"/>
          <w:bCs w:val="0"/>
          <w:kern w:val="0"/>
          <w:sz w:val="24"/>
          <w:szCs w:val="24"/>
          <w:lang w:val="el-GR"/>
          <w14:ligatures w14:val="none"/>
        </w:rPr>
        <w:t xml:space="preserve"> για το 2030 θα κυμανθεί στο 90%, με τα ενδιάμεσα έτη 2025-2029 να προκύπτουν με γραμμική παρεμβολή.</w:t>
      </w:r>
    </w:p>
    <w:p w14:paraId="0EA71DA9"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Η ανάπτυξη επάλληλων FTTH υποδομών από άλλους </w:t>
      </w:r>
      <w:proofErr w:type="spellStart"/>
      <w:r w:rsidRPr="007A7BC6">
        <w:rPr>
          <w:rFonts w:ascii="Calibri" w:eastAsia="Calibri" w:hAnsi="Calibri" w:cs="Calibri"/>
          <w:bCs w:val="0"/>
          <w:kern w:val="0"/>
          <w:sz w:val="24"/>
          <w:szCs w:val="24"/>
          <w:lang w:val="el-GR"/>
          <w14:ligatures w14:val="none"/>
        </w:rPr>
        <w:t>παρόχους</w:t>
      </w:r>
      <w:proofErr w:type="spellEnd"/>
      <w:r w:rsidRPr="007A7BC6">
        <w:rPr>
          <w:rFonts w:ascii="Calibri" w:eastAsia="Calibri" w:hAnsi="Calibri" w:cs="Calibri"/>
          <w:bCs w:val="0"/>
          <w:kern w:val="0"/>
          <w:sz w:val="24"/>
          <w:szCs w:val="24"/>
          <w:lang w:val="el-GR"/>
          <w14:ligatures w14:val="none"/>
        </w:rPr>
        <w:t xml:space="preserve"> επηρεάζει σημαντικά το μερίδιο της αγοράς του «αποδοτικού </w:t>
      </w:r>
      <w:proofErr w:type="spellStart"/>
      <w:r w:rsidRPr="007A7BC6">
        <w:rPr>
          <w:rFonts w:ascii="Calibri" w:eastAsia="Calibri" w:hAnsi="Calibri" w:cs="Calibri"/>
          <w:bCs w:val="0"/>
          <w:kern w:val="0"/>
          <w:sz w:val="24"/>
          <w:szCs w:val="24"/>
          <w:lang w:val="el-GR"/>
          <w14:ligatures w14:val="none"/>
        </w:rPr>
        <w:t>παρόχου</w:t>
      </w:r>
      <w:proofErr w:type="spellEnd"/>
      <w:r w:rsidRPr="007A7BC6">
        <w:rPr>
          <w:rFonts w:ascii="Calibri" w:eastAsia="Calibri" w:hAnsi="Calibri" w:cs="Calibri"/>
          <w:bCs w:val="0"/>
          <w:kern w:val="0"/>
          <w:sz w:val="24"/>
          <w:szCs w:val="24"/>
          <w:lang w:val="el-GR"/>
          <w14:ligatures w14:val="none"/>
        </w:rPr>
        <w:t xml:space="preserve">» μειώνοντας μέσα στον χρόνο τον αριθμό των συνδρομητών που εξυπηρετεί αυτό το δίκτυο FTTH. Η μείωση του αριθμού των συνδρομητών δεν επηρεάζει το κόστος ανάπτυξης του δικτύου καθώς ο «αποδοτικός </w:t>
      </w:r>
      <w:proofErr w:type="spellStart"/>
      <w:r w:rsidRPr="007A7BC6">
        <w:rPr>
          <w:rFonts w:ascii="Calibri" w:eastAsia="Calibri" w:hAnsi="Calibri" w:cs="Calibri"/>
          <w:bCs w:val="0"/>
          <w:kern w:val="0"/>
          <w:sz w:val="24"/>
          <w:szCs w:val="24"/>
          <w:lang w:val="el-GR"/>
          <w14:ligatures w14:val="none"/>
        </w:rPr>
        <w:t>πάροχος</w:t>
      </w:r>
      <w:proofErr w:type="spellEnd"/>
      <w:r w:rsidRPr="007A7BC6">
        <w:rPr>
          <w:rFonts w:ascii="Calibri" w:eastAsia="Calibri" w:hAnsi="Calibri" w:cs="Calibri"/>
          <w:bCs w:val="0"/>
          <w:kern w:val="0"/>
          <w:sz w:val="24"/>
          <w:szCs w:val="24"/>
          <w:lang w:val="el-GR"/>
          <w14:ligatures w14:val="none"/>
        </w:rPr>
        <w:t xml:space="preserve">» αναπτύσσει δίκτυο με κάλυψη το 100% των κτιρίων και των δυνητικών συνδρομητών, ανεξάρτητα από το </w:t>
      </w:r>
      <w:proofErr w:type="spellStart"/>
      <w:r w:rsidRPr="007A7BC6">
        <w:rPr>
          <w:rFonts w:ascii="Calibri" w:eastAsia="Calibri" w:hAnsi="Calibri" w:cs="Calibri"/>
          <w:bCs w:val="0"/>
          <w:kern w:val="0"/>
          <w:sz w:val="24"/>
          <w:szCs w:val="24"/>
          <w:lang w:val="el-GR"/>
          <w14:ligatures w14:val="none"/>
        </w:rPr>
        <w:t>take-up</w:t>
      </w:r>
      <w:proofErr w:type="spellEnd"/>
      <w:r w:rsidRPr="007A7BC6">
        <w:rPr>
          <w:rFonts w:ascii="Calibri" w:eastAsia="Calibri" w:hAnsi="Calibri" w:cs="Calibri"/>
          <w:bCs w:val="0"/>
          <w:kern w:val="0"/>
          <w:sz w:val="24"/>
          <w:szCs w:val="24"/>
          <w:lang w:val="el-GR"/>
          <w14:ligatures w14:val="none"/>
        </w:rPr>
        <w:t>.</w:t>
      </w:r>
    </w:p>
    <w:p w14:paraId="3C29A48D"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Η προτεινόμενη μεθοδολογία υπολογισμού του μεριδίου της αγοράς σε περιοχές με επάλληλα δίκτυα θα πρέπει να λαμβάνει υπόψη εκτός από τη μείωση του ποσοστού στις γραμμές χονδρικής και τη μείωση με την πάροδο του χρόνου της </w:t>
      </w:r>
      <w:proofErr w:type="spellStart"/>
      <w:r w:rsidRPr="007A7BC6">
        <w:rPr>
          <w:rFonts w:ascii="Calibri" w:eastAsia="Calibri" w:hAnsi="Calibri" w:cs="Calibri"/>
          <w:bCs w:val="0"/>
          <w:kern w:val="0"/>
          <w:sz w:val="24"/>
          <w:szCs w:val="24"/>
          <w:lang w:val="el-GR"/>
          <w14:ligatures w14:val="none"/>
        </w:rPr>
        <w:t>αυτοπαροχής</w:t>
      </w:r>
      <w:proofErr w:type="spellEnd"/>
      <w:r w:rsidRPr="007A7BC6">
        <w:rPr>
          <w:rFonts w:ascii="Calibri" w:eastAsia="Calibri" w:hAnsi="Calibri" w:cs="Calibri"/>
          <w:bCs w:val="0"/>
          <w:kern w:val="0"/>
          <w:sz w:val="24"/>
          <w:szCs w:val="24"/>
          <w:lang w:val="el-GR"/>
          <w14:ligatures w14:val="none"/>
        </w:rPr>
        <w:t xml:space="preserve">, δηλαδή του μεριδίου του </w:t>
      </w:r>
      <w:proofErr w:type="spellStart"/>
      <w:r w:rsidRPr="007A7BC6">
        <w:rPr>
          <w:rFonts w:ascii="Calibri" w:eastAsia="Calibri" w:hAnsi="Calibri" w:cs="Calibri"/>
          <w:bCs w:val="0"/>
          <w:kern w:val="0"/>
          <w:sz w:val="24"/>
          <w:szCs w:val="24"/>
          <w:lang w:val="el-GR"/>
          <w14:ligatures w14:val="none"/>
        </w:rPr>
        <w:t>μοντελοποιημένου</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παρόχου</w:t>
      </w:r>
      <w:proofErr w:type="spellEnd"/>
      <w:r w:rsidRPr="007A7BC6">
        <w:rPr>
          <w:rFonts w:ascii="Calibri" w:eastAsia="Calibri" w:hAnsi="Calibri" w:cs="Calibri"/>
          <w:bCs w:val="0"/>
          <w:kern w:val="0"/>
          <w:sz w:val="24"/>
          <w:szCs w:val="24"/>
          <w:lang w:val="el-GR"/>
          <w14:ligatures w14:val="none"/>
        </w:rPr>
        <w:t xml:space="preserve"> στη λιανική.</w:t>
      </w:r>
    </w:p>
    <w:p w14:paraId="249A8BFE" w14:textId="77777777" w:rsidR="007A7BC6" w:rsidRPr="00073E36" w:rsidRDefault="007A7BC6" w:rsidP="007A7BC6">
      <w:pPr>
        <w:widowControl w:val="0"/>
        <w:autoSpaceDE w:val="0"/>
        <w:autoSpaceDN w:val="0"/>
        <w:spacing w:after="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Ο ΟΤΕ θεωρεί ότι για την σωστή αποτύπωση του μεριδίου της αγοράς πρέπει να ληφθούν υπόψη τα εξής:</w:t>
      </w:r>
    </w:p>
    <w:p w14:paraId="0F5441CF" w14:textId="5E8B3F6B" w:rsidR="00B41C9C" w:rsidRPr="00073E36" w:rsidRDefault="00B41C9C" w:rsidP="007A7BC6">
      <w:pPr>
        <w:widowControl w:val="0"/>
        <w:autoSpaceDE w:val="0"/>
        <w:autoSpaceDN w:val="0"/>
        <w:spacing w:after="0" w:line="360" w:lineRule="atLeast"/>
        <w:ind w:left="0" w:right="0"/>
        <w:jc w:val="both"/>
        <w:rPr>
          <w:rFonts w:ascii="Calibri" w:eastAsia="Calibri" w:hAnsi="Calibri" w:cs="Calibri"/>
          <w:bCs w:val="0"/>
          <w:kern w:val="0"/>
          <w:sz w:val="24"/>
          <w:szCs w:val="24"/>
          <w14:ligatures w14:val="none"/>
        </w:rPr>
      </w:pPr>
      <w:r>
        <w:rPr>
          <w:rFonts w:ascii="Calibri" w:eastAsia="Calibri" w:hAnsi="Calibri" w:cs="Calibri"/>
          <w:bCs w:val="0"/>
          <w:kern w:val="0"/>
          <w:sz w:val="24"/>
          <w:szCs w:val="24"/>
          <w14:ligatures w14:val="none"/>
        </w:rPr>
        <w:sym w:font="Wingdings" w:char="F022"/>
      </w:r>
    </w:p>
    <w:p w14:paraId="7D5C9242" w14:textId="77777777" w:rsidR="006647F9" w:rsidRPr="007A7BC6" w:rsidRDefault="006647F9" w:rsidP="006647F9">
      <w:pPr>
        <w:widowControl w:val="0"/>
        <w:autoSpaceDE w:val="0"/>
        <w:autoSpaceDN w:val="0"/>
        <w:spacing w:after="240" w:line="360" w:lineRule="atLeast"/>
        <w:ind w:left="360" w:right="0"/>
        <w:contextualSpacing/>
        <w:jc w:val="both"/>
        <w:rPr>
          <w:rFonts w:ascii="Calibri" w:eastAsia="Calibri" w:hAnsi="Calibri" w:cs="Calibri"/>
          <w:bCs w:val="0"/>
          <w:kern w:val="0"/>
          <w:sz w:val="24"/>
          <w:szCs w:val="24"/>
          <w:lang w:val="el-GR"/>
          <w14:ligatures w14:val="none"/>
        </w:rPr>
      </w:pPr>
    </w:p>
    <w:p w14:paraId="6FEDAE99" w14:textId="0E399850" w:rsidR="007A7BC6" w:rsidRPr="00073E36" w:rsidRDefault="007A7BC6" w:rsidP="007A7BC6">
      <w:pPr>
        <w:widowControl w:val="0"/>
        <w:autoSpaceDE w:val="0"/>
        <w:autoSpaceDN w:val="0"/>
        <w:spacing w:after="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Θεωρώντας ότι η επικάλυψη των δικτύων </w:t>
      </w:r>
      <w:r w:rsidRPr="007A7BC6">
        <w:rPr>
          <w:rFonts w:ascii="Calibri" w:eastAsia="Calibri" w:hAnsi="Calibri" w:cs="Calibri"/>
          <w:bCs w:val="0"/>
          <w:kern w:val="0"/>
          <w:sz w:val="24"/>
          <w:szCs w:val="24"/>
          <w14:ligatures w14:val="none"/>
        </w:rPr>
        <w:t>FTTH</w:t>
      </w:r>
      <w:r w:rsidRPr="007A7BC6">
        <w:rPr>
          <w:rFonts w:ascii="Calibri" w:eastAsia="Calibri" w:hAnsi="Calibri" w:cs="Calibri"/>
          <w:bCs w:val="0"/>
          <w:kern w:val="0"/>
          <w:sz w:val="24"/>
          <w:szCs w:val="24"/>
          <w:lang w:val="el-GR"/>
          <w14:ligatures w14:val="none"/>
        </w:rPr>
        <w:t xml:space="preserve"> θα είναι το 2030 </w:t>
      </w:r>
      <w:r w:rsidR="00B41C9C">
        <w:rPr>
          <w:rFonts w:ascii="Calibri" w:eastAsia="Calibri" w:hAnsi="Calibri" w:cs="Calibri"/>
          <w:bCs w:val="0"/>
          <w:kern w:val="0"/>
          <w:sz w:val="24"/>
          <w:szCs w:val="24"/>
          <w:lang w:val="el-GR"/>
          <w14:ligatures w14:val="none"/>
        </w:rPr>
        <w:sym w:font="Wingdings" w:char="F022"/>
      </w:r>
      <w:r w:rsidR="00B41C9C" w:rsidRPr="00073E3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lang w:val="el-GR"/>
          <w14:ligatures w14:val="none"/>
        </w:rPr>
        <w:t xml:space="preserve"> ο υπολογισμός του μεριδίου της αγοράς για τον αποδοτικό </w:t>
      </w:r>
      <w:proofErr w:type="spellStart"/>
      <w:r w:rsidRPr="007A7BC6">
        <w:rPr>
          <w:rFonts w:ascii="Calibri" w:eastAsia="Calibri" w:hAnsi="Calibri" w:cs="Calibri"/>
          <w:bCs w:val="0"/>
          <w:kern w:val="0"/>
          <w:sz w:val="24"/>
          <w:szCs w:val="24"/>
          <w:lang w:val="el-GR"/>
          <w14:ligatures w14:val="none"/>
        </w:rPr>
        <w:t>πάροχο</w:t>
      </w:r>
      <w:proofErr w:type="spellEnd"/>
      <w:r w:rsidRPr="007A7BC6">
        <w:rPr>
          <w:rFonts w:ascii="Calibri" w:eastAsia="Calibri" w:hAnsi="Calibri" w:cs="Calibri"/>
          <w:bCs w:val="0"/>
          <w:kern w:val="0"/>
          <w:sz w:val="24"/>
          <w:szCs w:val="24"/>
          <w:lang w:val="el-GR"/>
          <w14:ligatures w14:val="none"/>
        </w:rPr>
        <w:t>:</w:t>
      </w:r>
    </w:p>
    <w:p w14:paraId="44CBEBF8" w14:textId="4D5FB307" w:rsidR="00B41C9C" w:rsidRPr="00073E36" w:rsidRDefault="00B41C9C" w:rsidP="007A7BC6">
      <w:pPr>
        <w:widowControl w:val="0"/>
        <w:autoSpaceDE w:val="0"/>
        <w:autoSpaceDN w:val="0"/>
        <w:spacing w:after="0" w:line="360" w:lineRule="atLeast"/>
        <w:ind w:left="0" w:right="0"/>
        <w:jc w:val="both"/>
        <w:rPr>
          <w:rFonts w:ascii="Calibri" w:eastAsia="Calibri" w:hAnsi="Calibri" w:cs="Calibri"/>
          <w:bCs w:val="0"/>
          <w:kern w:val="0"/>
          <w:sz w:val="24"/>
          <w:szCs w:val="24"/>
          <w14:ligatures w14:val="none"/>
        </w:rPr>
      </w:pPr>
      <w:r>
        <w:rPr>
          <w:rFonts w:ascii="Calibri" w:eastAsia="Calibri" w:hAnsi="Calibri" w:cs="Calibri"/>
          <w:bCs w:val="0"/>
          <w:kern w:val="0"/>
          <w:sz w:val="24"/>
          <w:szCs w:val="24"/>
          <w14:ligatures w14:val="none"/>
        </w:rPr>
        <w:sym w:font="Wingdings" w:char="F022"/>
      </w:r>
    </w:p>
    <w:p w14:paraId="0C368691" w14:textId="77777777" w:rsidR="006647F9" w:rsidRPr="007A7BC6" w:rsidRDefault="006647F9" w:rsidP="006647F9">
      <w:pPr>
        <w:widowControl w:val="0"/>
        <w:autoSpaceDE w:val="0"/>
        <w:autoSpaceDN w:val="0"/>
        <w:spacing w:after="240" w:line="360" w:lineRule="atLeast"/>
        <w:ind w:left="360" w:right="0"/>
        <w:contextualSpacing/>
        <w:jc w:val="both"/>
        <w:rPr>
          <w:rFonts w:ascii="Calibri" w:eastAsia="Calibri" w:hAnsi="Calibri" w:cs="Calibri"/>
          <w:bCs w:val="0"/>
          <w:kern w:val="0"/>
          <w:sz w:val="24"/>
          <w:szCs w:val="24"/>
          <w:lang w:val="el-GR"/>
          <w14:ligatures w14:val="none"/>
        </w:rPr>
      </w:pPr>
    </w:p>
    <w:p w14:paraId="76016FCD" w14:textId="77777777" w:rsidR="007A7BC6" w:rsidRPr="007A7BC6" w:rsidRDefault="007A7BC6" w:rsidP="007A7BC6">
      <w:pPr>
        <w:keepNext/>
        <w:keepLines/>
        <w:widowControl w:val="0"/>
        <w:autoSpaceDE w:val="0"/>
        <w:autoSpaceDN w:val="0"/>
        <w:spacing w:before="160" w:after="80" w:line="360" w:lineRule="atLeast"/>
        <w:ind w:left="360" w:right="0" w:hanging="360"/>
        <w:jc w:val="both"/>
        <w:outlineLvl w:val="1"/>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lang w:val="el-GR"/>
          <w14:ligatures w14:val="none"/>
        </w:rPr>
        <w:t>Εξέλιξη γραμμών σταθερής σύνδεσης</w:t>
      </w:r>
    </w:p>
    <w:p w14:paraId="302AFA38" w14:textId="77777777" w:rsid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Μείωση συνολικού αριθμού πελατών σταθερής σύνδεσης λόγω ανταγωνιστικών τεχνολογιών. Θα πρέπει να ληφθεί υπόψη και η συνολική μείωση του αριθμού συνδρομητών σταθερής σύνδεσης </w:t>
      </w:r>
      <w:r w:rsidRPr="007A7BC6">
        <w:rPr>
          <w:rFonts w:ascii="Calibri" w:eastAsia="Calibri" w:hAnsi="Calibri" w:cs="Calibri"/>
          <w:bCs w:val="0"/>
          <w:kern w:val="0"/>
          <w:sz w:val="24"/>
          <w:szCs w:val="24"/>
          <w:lang w:val="el-GR"/>
          <w14:ligatures w14:val="none"/>
        </w:rPr>
        <w:lastRenderedPageBreak/>
        <w:t xml:space="preserve">λόγω μετάβασης και σε άλλες ασύρματες λύσεις (κινητής, δορυφορικής , FWA). στοιχεία που επιβεβαιώνονται και από το </w:t>
      </w:r>
      <w:r w:rsidRPr="007A7BC6">
        <w:rPr>
          <w:rFonts w:ascii="Calibri" w:eastAsia="Calibri" w:hAnsi="Calibri" w:cs="Calibri"/>
          <w:bCs w:val="0"/>
          <w:kern w:val="0"/>
          <w:sz w:val="24"/>
          <w:szCs w:val="24"/>
          <w14:ligatures w14:val="none"/>
        </w:rPr>
        <w:t>GSMA</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report</w:t>
      </w:r>
      <w:r w:rsidRPr="007A7BC6">
        <w:rPr>
          <w:rFonts w:ascii="Calibri" w:eastAsia="Calibri" w:hAnsi="Calibri" w:cs="Calibri"/>
          <w:bCs w:val="0"/>
          <w:kern w:val="0"/>
          <w:sz w:val="24"/>
          <w:szCs w:val="24"/>
          <w:lang w:val="el-GR"/>
          <w14:ligatures w14:val="none"/>
        </w:rPr>
        <w:t xml:space="preserve"> σε παγκόσμιο επίπεδο</w:t>
      </w:r>
      <w:r w:rsidRPr="007A7BC6">
        <w:rPr>
          <w:rFonts w:ascii="Calibri" w:eastAsia="Calibri" w:hAnsi="Calibri" w:cs="Calibri"/>
          <w:bCs w:val="0"/>
          <w:kern w:val="0"/>
          <w:sz w:val="24"/>
          <w:szCs w:val="24"/>
          <w:vertAlign w:val="superscript"/>
          <w:lang w:val="el-GR"/>
          <w14:ligatures w14:val="none"/>
        </w:rPr>
        <w:footnoteReference w:id="1"/>
      </w:r>
      <w:r w:rsidRPr="007A7BC6">
        <w:rPr>
          <w:rFonts w:ascii="Calibri" w:eastAsia="Calibri" w:hAnsi="Calibri" w:cs="Calibri"/>
          <w:bCs w:val="0"/>
          <w:kern w:val="0"/>
          <w:sz w:val="24"/>
          <w:szCs w:val="24"/>
          <w:lang w:val="el-GR"/>
          <w14:ligatures w14:val="none"/>
        </w:rPr>
        <w:t xml:space="preserve">. Η μείωση αυτή δεν επηρεάζει το </w:t>
      </w:r>
      <w:proofErr w:type="spellStart"/>
      <w:r w:rsidRPr="007A7BC6">
        <w:rPr>
          <w:rFonts w:ascii="Calibri" w:eastAsia="Calibri" w:hAnsi="Calibri" w:cs="Calibri"/>
          <w:bCs w:val="0"/>
          <w:kern w:val="0"/>
          <w:sz w:val="24"/>
          <w:szCs w:val="24"/>
          <w:lang w:val="el-GR"/>
          <w14:ligatures w14:val="none"/>
        </w:rPr>
        <w:t>footprint</w:t>
      </w:r>
      <w:proofErr w:type="spellEnd"/>
      <w:r w:rsidRPr="007A7BC6">
        <w:rPr>
          <w:rFonts w:ascii="Calibri" w:eastAsia="Calibri" w:hAnsi="Calibri" w:cs="Calibri"/>
          <w:bCs w:val="0"/>
          <w:kern w:val="0"/>
          <w:sz w:val="24"/>
          <w:szCs w:val="24"/>
          <w:lang w:val="el-GR"/>
          <w14:ligatures w14:val="none"/>
        </w:rPr>
        <w:t xml:space="preserve"> και συνεπώς το κόστος ανάπτυξης των δικτύων FTTH, καθώς τα δίκτυα FTTH που αναπτύσσονται καλύπτουν το σύνολο των κτιρίων ανεξάρτητα του αριθμού των συνδρομητών που τελικά θα λάβουν υπηρεσία. Η εκτίμηση του ΟΤΕ για την εξέλιξη μετάβασης των συνδρομητών σταθερής στις λύσεις δορυφορικής (κυρίως </w:t>
      </w:r>
      <w:r w:rsidRPr="007A7BC6">
        <w:rPr>
          <w:rFonts w:ascii="Calibri" w:eastAsia="Calibri" w:hAnsi="Calibri" w:cs="Calibri"/>
          <w:bCs w:val="0"/>
          <w:kern w:val="0"/>
          <w:sz w:val="24"/>
          <w:szCs w:val="24"/>
          <w14:ligatures w14:val="none"/>
        </w:rPr>
        <w:t>Starlink</w:t>
      </w:r>
      <w:r w:rsidRPr="007A7BC6">
        <w:rPr>
          <w:rFonts w:ascii="Calibri" w:eastAsia="Calibri" w:hAnsi="Calibri" w:cs="Calibri"/>
          <w:bCs w:val="0"/>
          <w:kern w:val="0"/>
          <w:sz w:val="24"/>
          <w:szCs w:val="24"/>
          <w:lang w:val="el-GR"/>
          <w14:ligatures w14:val="none"/>
        </w:rPr>
        <w:t>) και FWA έχουν ως εξής:</w:t>
      </w:r>
    </w:p>
    <w:p w14:paraId="6AB8144A" w14:textId="1C79209D" w:rsidR="00731DCF" w:rsidRPr="007A7BC6" w:rsidRDefault="00541C0C"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Pr>
          <w:rFonts w:ascii="Calibri" w:eastAsia="Calibri" w:hAnsi="Calibri" w:cs="Calibri"/>
          <w:bCs w:val="0"/>
          <w:kern w:val="0"/>
          <w:sz w:val="24"/>
          <w:szCs w:val="24"/>
          <w:lang w:val="el-GR"/>
          <w14:ligatures w14:val="none"/>
        </w:rPr>
        <w:sym w:font="Wingdings" w:char="F022"/>
      </w:r>
    </w:p>
    <w:p w14:paraId="3BEBEF5A" w14:textId="77777777" w:rsidR="007A7BC6" w:rsidRPr="007A7BC6" w:rsidRDefault="007A7BC6" w:rsidP="007A7BC6">
      <w:pPr>
        <w:keepNext/>
        <w:widowControl w:val="0"/>
        <w:autoSpaceDE w:val="0"/>
        <w:autoSpaceDN w:val="0"/>
        <w:spacing w:after="240" w:line="360" w:lineRule="atLeast"/>
        <w:ind w:left="0" w:right="0"/>
        <w:jc w:val="center"/>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Πίνακας 1 </w:t>
      </w:r>
    </w:p>
    <w:p w14:paraId="654A2E2E" w14:textId="196DD5F2" w:rsidR="007A7BC6" w:rsidRPr="00073E3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highlight w:val="cyan"/>
          <w:lang w:val="el-GR"/>
          <w14:ligatures w14:val="none"/>
        </w:rPr>
      </w:pPr>
      <w:r w:rsidRPr="007A7BC6">
        <w:rPr>
          <w:rFonts w:ascii="Calibri" w:eastAsia="Calibri" w:hAnsi="Calibri" w:cs="Calibri"/>
          <w:bCs w:val="0"/>
          <w:kern w:val="0"/>
          <w:sz w:val="24"/>
          <w:szCs w:val="24"/>
          <w:lang w:val="el-GR"/>
          <w14:ligatures w14:val="none"/>
        </w:rPr>
        <w:t xml:space="preserve">Με βάση τις εκτιμήσεις του ΟΤΕ η ΕΕΤΤ υποεκτιμά με τις προβλέψεις της τη μείωση των συνδρομητών της αγοράς σταθερής πρόσβασης. Υπολογίζοντας ως ετήσια μείωση της αγοράς σταθερής τις εκτιμήσεις του ΟΤΕ στον Πίνακα 1 και εφαρμόζοντας τις μειώσεις αυτές στις προβλέψεις τις ΕΕΤΤ από το έτος 2025 και μετά, η εξέλιξη των γραμμών σταθερής διαφοροποιείται ετησίως σύμφωνα με το παρακάτω γράφημα. </w:t>
      </w:r>
      <w:r w:rsidR="00B41C9C">
        <w:rPr>
          <w:rFonts w:ascii="Calibri" w:eastAsia="Calibri" w:hAnsi="Calibri" w:cs="Calibri"/>
          <w:bCs w:val="0"/>
          <w:kern w:val="0"/>
          <w:sz w:val="24"/>
          <w:szCs w:val="24"/>
          <w:lang w:val="el-GR"/>
          <w14:ligatures w14:val="none"/>
        </w:rPr>
        <w:sym w:font="Wingdings" w:char="F022"/>
      </w:r>
      <w:r w:rsidR="00B41C9C" w:rsidRPr="00073E36">
        <w:rPr>
          <w:rFonts w:ascii="Calibri" w:eastAsia="Calibri" w:hAnsi="Calibri" w:cs="Calibri"/>
          <w:bCs w:val="0"/>
          <w:kern w:val="0"/>
          <w:sz w:val="24"/>
          <w:szCs w:val="24"/>
          <w:lang w:val="el-GR"/>
          <w14:ligatures w14:val="none"/>
        </w:rPr>
        <w:t xml:space="preserve"> </w:t>
      </w:r>
    </w:p>
    <w:p w14:paraId="7AFA819B" w14:textId="341AB06F" w:rsidR="00B41C9C" w:rsidRPr="002271A7" w:rsidRDefault="00B41C9C" w:rsidP="007A7BC6">
      <w:pPr>
        <w:widowControl w:val="0"/>
        <w:autoSpaceDE w:val="0"/>
        <w:autoSpaceDN w:val="0"/>
        <w:spacing w:after="240" w:line="360" w:lineRule="atLeast"/>
        <w:ind w:left="0" w:right="0"/>
        <w:jc w:val="both"/>
        <w:rPr>
          <w:rFonts w:ascii="Calibri" w:eastAsia="Calibri" w:hAnsi="Calibri" w:cs="Calibri"/>
          <w:bCs w:val="0"/>
          <w:kern w:val="0"/>
          <w:sz w:val="24"/>
          <w:szCs w:val="24"/>
          <w14:ligatures w14:val="none"/>
        </w:rPr>
      </w:pPr>
      <w:r w:rsidRPr="002271A7">
        <w:rPr>
          <w:rFonts w:ascii="Calibri" w:eastAsia="Calibri" w:hAnsi="Calibri" w:cs="Calibri"/>
          <w:bCs w:val="0"/>
          <w:kern w:val="0"/>
          <w:sz w:val="24"/>
          <w:szCs w:val="24"/>
          <w14:ligatures w14:val="none"/>
        </w:rPr>
        <w:sym w:font="Wingdings" w:char="F022"/>
      </w:r>
    </w:p>
    <w:p w14:paraId="7CFDF3A8" w14:textId="5CEACB4D" w:rsidR="007A7BC6" w:rsidRPr="007A7BC6" w:rsidRDefault="007A7BC6" w:rsidP="007A7BC6">
      <w:pPr>
        <w:keepNext/>
        <w:widowControl w:val="0"/>
        <w:autoSpaceDE w:val="0"/>
        <w:autoSpaceDN w:val="0"/>
        <w:spacing w:after="240" w:line="360" w:lineRule="atLeast"/>
        <w:ind w:left="0" w:right="0"/>
        <w:jc w:val="center"/>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Εικόνα </w:t>
      </w:r>
      <w:r w:rsidRPr="007A7BC6">
        <w:rPr>
          <w:rFonts w:ascii="Calibri" w:eastAsia="Calibri" w:hAnsi="Calibri" w:cs="Calibri"/>
          <w:bCs w:val="0"/>
          <w:kern w:val="0"/>
          <w:sz w:val="24"/>
          <w:szCs w:val="24"/>
          <w:lang w:val="el-GR"/>
          <w14:ligatures w14:val="none"/>
        </w:rPr>
        <w:fldChar w:fldCharType="begin"/>
      </w:r>
      <w:r w:rsidRPr="007A7BC6">
        <w:rPr>
          <w:rFonts w:ascii="Calibri" w:eastAsia="Calibri" w:hAnsi="Calibri" w:cs="Calibri"/>
          <w:bCs w:val="0"/>
          <w:kern w:val="0"/>
          <w:sz w:val="24"/>
          <w:szCs w:val="24"/>
          <w:lang w:val="el-GR"/>
          <w14:ligatures w14:val="none"/>
        </w:rPr>
        <w:instrText xml:space="preserve"> SEQ Εικόνα \* ARABIC </w:instrText>
      </w:r>
      <w:r w:rsidRPr="007A7BC6">
        <w:rPr>
          <w:rFonts w:ascii="Calibri" w:eastAsia="Calibri" w:hAnsi="Calibri" w:cs="Calibri"/>
          <w:bCs w:val="0"/>
          <w:kern w:val="0"/>
          <w:sz w:val="24"/>
          <w:szCs w:val="24"/>
          <w:lang w:val="el-GR"/>
          <w14:ligatures w14:val="none"/>
        </w:rPr>
        <w:fldChar w:fldCharType="separate"/>
      </w:r>
      <w:r w:rsidR="00020A39">
        <w:rPr>
          <w:rFonts w:ascii="Calibri" w:eastAsia="Calibri" w:hAnsi="Calibri" w:cs="Calibri"/>
          <w:bCs w:val="0"/>
          <w:noProof/>
          <w:kern w:val="0"/>
          <w:sz w:val="24"/>
          <w:szCs w:val="24"/>
          <w:lang w:val="el-GR"/>
          <w14:ligatures w14:val="none"/>
        </w:rPr>
        <w:t>1</w:t>
      </w:r>
      <w:r w:rsidRPr="007A7BC6">
        <w:rPr>
          <w:rFonts w:ascii="Calibri" w:eastAsia="Calibri" w:hAnsi="Calibri" w:cs="Calibri"/>
          <w:bCs w:val="0"/>
          <w:kern w:val="0"/>
          <w:sz w:val="24"/>
          <w:szCs w:val="24"/>
          <w:lang w:val="el-GR"/>
          <w14:ligatures w14:val="none"/>
        </w:rPr>
        <w:fldChar w:fldCharType="end"/>
      </w:r>
    </w:p>
    <w:p w14:paraId="35797FD9" w14:textId="77777777" w:rsidR="007A7BC6" w:rsidRPr="007A7BC6" w:rsidRDefault="007A7BC6" w:rsidP="007A7BC6">
      <w:pPr>
        <w:keepNext/>
        <w:keepLines/>
        <w:widowControl w:val="0"/>
        <w:autoSpaceDE w:val="0"/>
        <w:autoSpaceDN w:val="0"/>
        <w:spacing w:before="160" w:after="80" w:line="360" w:lineRule="atLeast"/>
        <w:ind w:left="360" w:right="0" w:hanging="360"/>
        <w:jc w:val="both"/>
        <w:outlineLvl w:val="1"/>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Υπηρεσίες χονδρικής πρόσβασης σε παθητική φυσική υποδομή: </w:t>
      </w:r>
    </w:p>
    <w:p w14:paraId="112A7F94" w14:textId="77777777" w:rsidR="007A7BC6" w:rsidRPr="00073E3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Η κοστολόγηση των υπηρεσιών χονδρικής πρόσβασης σε παθητική φυσική υποδομή και ιδιαίτερα το επίπεδο τιμολόγησης της υπηρεσίας σκοτεινής οπτικής ίνας που παρέχεται στο τμήμα του δικτύου μεταξύ την οπτική καμπίνα και το κτίριο, μπορεί να έχει μεγάλη επίδραση στο επιχειρηματικό σχέδιο του </w:t>
      </w:r>
      <w:proofErr w:type="spellStart"/>
      <w:r w:rsidRPr="007A7BC6">
        <w:rPr>
          <w:rFonts w:ascii="Calibri" w:eastAsia="Calibri" w:hAnsi="Calibri" w:cs="Calibri"/>
          <w:bCs w:val="0"/>
          <w:kern w:val="0"/>
          <w:sz w:val="24"/>
          <w:szCs w:val="24"/>
          <w:lang w:val="el-GR"/>
          <w14:ligatures w14:val="none"/>
        </w:rPr>
        <w:t>παρόχου</w:t>
      </w:r>
      <w:proofErr w:type="spellEnd"/>
      <w:r w:rsidRPr="007A7BC6">
        <w:rPr>
          <w:rFonts w:ascii="Calibri" w:eastAsia="Calibri" w:hAnsi="Calibri" w:cs="Calibri"/>
          <w:bCs w:val="0"/>
          <w:kern w:val="0"/>
          <w:sz w:val="24"/>
          <w:szCs w:val="24"/>
          <w:lang w:val="el-GR"/>
          <w14:ligatures w14:val="none"/>
        </w:rPr>
        <w:t xml:space="preserve"> που αναπτύσσει δίκτυο </w:t>
      </w:r>
      <w:r w:rsidRPr="007A7BC6">
        <w:rPr>
          <w:rFonts w:ascii="Calibri" w:eastAsia="Calibri" w:hAnsi="Calibri" w:cs="Calibri"/>
          <w:bCs w:val="0"/>
          <w:kern w:val="0"/>
          <w:sz w:val="24"/>
          <w:szCs w:val="24"/>
          <w14:ligatures w14:val="none"/>
        </w:rPr>
        <w:t>FTTH</w:t>
      </w:r>
      <w:r w:rsidRPr="007A7BC6">
        <w:rPr>
          <w:rFonts w:ascii="Calibri" w:eastAsia="Calibri" w:hAnsi="Calibri" w:cs="Calibri"/>
          <w:bCs w:val="0"/>
          <w:kern w:val="0"/>
          <w:sz w:val="24"/>
          <w:szCs w:val="24"/>
          <w:lang w:val="el-GR"/>
          <w14:ligatures w14:val="none"/>
        </w:rPr>
        <w:t xml:space="preserve"> και έχει ρυθμιστικές υποχρεώσεις παροχής ενεργών υπηρεσιών </w:t>
      </w:r>
      <w:r w:rsidRPr="007A7BC6">
        <w:rPr>
          <w:rFonts w:ascii="Calibri" w:eastAsia="Calibri" w:hAnsi="Calibri" w:cs="Calibri"/>
          <w:bCs w:val="0"/>
          <w:kern w:val="0"/>
          <w:sz w:val="24"/>
          <w:szCs w:val="24"/>
          <w14:ligatures w14:val="none"/>
        </w:rPr>
        <w:t>VLU</w:t>
      </w:r>
      <w:r w:rsidRPr="007A7BC6">
        <w:rPr>
          <w:rFonts w:ascii="Calibri" w:eastAsia="Calibri" w:hAnsi="Calibri" w:cs="Calibri"/>
          <w:bCs w:val="0"/>
          <w:kern w:val="0"/>
          <w:sz w:val="24"/>
          <w:szCs w:val="24"/>
          <w:lang w:val="el-GR"/>
          <w14:ligatures w14:val="none"/>
        </w:rPr>
        <w:t xml:space="preserve"> για το σύνολο των πελατών χονδρικής και λιανικής.</w:t>
      </w:r>
    </w:p>
    <w:p w14:paraId="697E53D0" w14:textId="7DC14152" w:rsidR="00B41C9C" w:rsidRPr="00073E36" w:rsidRDefault="00B41C9C" w:rsidP="007A7BC6">
      <w:pPr>
        <w:widowControl w:val="0"/>
        <w:autoSpaceDE w:val="0"/>
        <w:autoSpaceDN w:val="0"/>
        <w:spacing w:after="240" w:line="360" w:lineRule="atLeast"/>
        <w:ind w:left="0" w:right="0"/>
        <w:jc w:val="both"/>
        <w:rPr>
          <w:rFonts w:ascii="Calibri" w:eastAsia="Calibri" w:hAnsi="Calibri" w:cs="Calibri"/>
          <w:bCs w:val="0"/>
          <w:kern w:val="0"/>
          <w:sz w:val="24"/>
          <w:szCs w:val="24"/>
          <w14:ligatures w14:val="none"/>
        </w:rPr>
      </w:pPr>
      <w:r>
        <w:rPr>
          <w:rFonts w:ascii="Calibri" w:eastAsia="Calibri" w:hAnsi="Calibri" w:cs="Calibri"/>
          <w:bCs w:val="0"/>
          <w:kern w:val="0"/>
          <w:sz w:val="24"/>
          <w:szCs w:val="24"/>
          <w14:ligatures w14:val="none"/>
        </w:rPr>
        <w:sym w:font="Wingdings" w:char="F022"/>
      </w:r>
    </w:p>
    <w:p w14:paraId="75BB5E47" w14:textId="57369AB1"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p>
    <w:p w14:paraId="301CD1CA" w14:textId="77777777" w:rsidR="007A7BC6" w:rsidRPr="007A7BC6" w:rsidRDefault="007A7BC6" w:rsidP="007A7BC6">
      <w:pPr>
        <w:keepNext/>
        <w:keepLines/>
        <w:widowControl w:val="0"/>
        <w:autoSpaceDE w:val="0"/>
        <w:autoSpaceDN w:val="0"/>
        <w:spacing w:before="160" w:after="80" w:line="360" w:lineRule="atLeast"/>
        <w:ind w:left="360" w:right="0" w:hanging="360"/>
        <w:outlineLvl w:val="1"/>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lang w:val="el-GR"/>
          <w14:ligatures w14:val="none"/>
        </w:rPr>
        <w:lastRenderedPageBreak/>
        <w:t>Στοιχεία Αστικών Κέντρων και αντίστοιχων γεωγραφικών περιοχών: Πλήθος κτιρίων συνδεδεμένα στα δίκτυα Πρόσβασης</w:t>
      </w:r>
    </w:p>
    <w:p w14:paraId="5CA8FFEF" w14:textId="77777777" w:rsidR="007A7BC6" w:rsidRPr="00CC4FBC" w:rsidRDefault="007A7BC6" w:rsidP="007A7BC6">
      <w:pPr>
        <w:widowControl w:val="0"/>
        <w:autoSpaceDE w:val="0"/>
        <w:autoSpaceDN w:val="0"/>
        <w:spacing w:after="0" w:line="360" w:lineRule="atLeast"/>
        <w:ind w:left="0" w:right="0"/>
        <w:jc w:val="both"/>
        <w:rPr>
          <w:rFonts w:ascii="Calibri" w:eastAsia="Calibri" w:hAnsi="Calibri" w:cs="Calibri"/>
          <w:bCs w:val="0"/>
          <w:kern w:val="0"/>
          <w:sz w:val="24"/>
          <w:szCs w:val="24"/>
          <w:lang w:val="el-GR"/>
          <w14:ligatures w14:val="none"/>
        </w:rPr>
      </w:pPr>
      <w:r w:rsidRPr="002271A7">
        <w:rPr>
          <w:rFonts w:ascii="Calibri" w:eastAsia="Calibri" w:hAnsi="Calibri" w:cs="Calibri"/>
          <w:bCs w:val="0"/>
          <w:kern w:val="0"/>
          <w:sz w:val="24"/>
          <w:szCs w:val="24"/>
          <w:lang w:val="el-GR"/>
          <w14:ligatures w14:val="none"/>
        </w:rPr>
        <w:t xml:space="preserve">Αναφορικά με τα στοιχεία για το πλήθος των κτιρίων, των μονοκατοικιών, των νοικοκυριών ανά ΑΚ, καθώς και τον τρόπο που υπολογίζει η ΕΕΤΤ τον αριθμό των ενεργών κτιρίων θα θέλαμε να </w:t>
      </w:r>
      <w:r w:rsidRPr="00CC4FBC">
        <w:rPr>
          <w:rFonts w:ascii="Calibri" w:eastAsia="Calibri" w:hAnsi="Calibri" w:cs="Calibri"/>
          <w:bCs w:val="0"/>
          <w:kern w:val="0"/>
          <w:sz w:val="24"/>
          <w:szCs w:val="24"/>
          <w:lang w:val="el-GR"/>
          <w14:ligatures w14:val="none"/>
        </w:rPr>
        <w:t>επισημάνουμε τα εξής:</w:t>
      </w:r>
    </w:p>
    <w:p w14:paraId="5A6F4D96" w14:textId="64D96F5C" w:rsidR="007A7BC6" w:rsidRPr="00CC4FBC" w:rsidRDefault="007A7BC6" w:rsidP="00034FBB">
      <w:pPr>
        <w:widowControl w:val="0"/>
        <w:numPr>
          <w:ilvl w:val="0"/>
          <w:numId w:val="7"/>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CC4FBC">
        <w:rPr>
          <w:rFonts w:ascii="Calibri" w:eastAsia="Calibri" w:hAnsi="Calibri" w:cs="Calibri"/>
          <w:bCs w:val="0"/>
          <w:kern w:val="0"/>
          <w:sz w:val="24"/>
          <w:szCs w:val="24"/>
          <w:lang w:val="el-GR"/>
          <w14:ligatures w14:val="none"/>
        </w:rPr>
        <w:t xml:space="preserve">η αφαίρεση του συνόλου των κτιρίων άλλης χρήσης είναι αυθαίρετη. Η ΕΕΤΤ αναφέρει ότι το σύνολο των κατοικημένων κτιρίων είναι 4.105.637, αλλά από την </w:t>
      </w:r>
      <w:proofErr w:type="spellStart"/>
      <w:r w:rsidRPr="00CC4FBC">
        <w:rPr>
          <w:rFonts w:ascii="Calibri" w:eastAsia="Calibri" w:hAnsi="Calibri" w:cs="Calibri"/>
          <w:bCs w:val="0"/>
          <w:kern w:val="0"/>
          <w:sz w:val="24"/>
          <w:szCs w:val="24"/>
          <w:lang w:val="el-GR"/>
          <w14:ligatures w14:val="none"/>
        </w:rPr>
        <w:t>μοντελοποίηση</w:t>
      </w:r>
      <w:proofErr w:type="spellEnd"/>
      <w:r w:rsidRPr="00CC4FBC">
        <w:rPr>
          <w:rFonts w:ascii="Calibri" w:eastAsia="Calibri" w:hAnsi="Calibri" w:cs="Calibri"/>
          <w:bCs w:val="0"/>
          <w:kern w:val="0"/>
          <w:sz w:val="24"/>
          <w:szCs w:val="24"/>
          <w:lang w:val="el-GR"/>
          <w14:ligatures w14:val="none"/>
        </w:rPr>
        <w:t xml:space="preserve"> εξαιρέθηκαν τα 486.417 κτίρια «άλλης» χρήσης για τα οποία δεν είναι διαθέσιμες επιπλέον πληροφορίες για τον ρόλο τους, καθώς παρατηρήθηκε ότι είναι αυξημένα κυρίως σε αγροτικές περιοχές και ως τούτου εκτιμάται ότι αφορούν κυρίως κτίσματα χωρίς τηλεφωνική γραμμή. </w:t>
      </w:r>
      <w:r w:rsidR="00B41C9C" w:rsidRPr="00CC4FBC">
        <w:rPr>
          <w:rFonts w:ascii="Calibri" w:eastAsia="Calibri" w:hAnsi="Calibri" w:cs="Calibri"/>
          <w:bCs w:val="0"/>
          <w:kern w:val="0"/>
          <w:sz w:val="24"/>
          <w:szCs w:val="24"/>
          <w:lang w:val="el-GR"/>
          <w14:ligatures w14:val="none"/>
        </w:rPr>
        <w:sym w:font="Wingdings" w:char="F022"/>
      </w:r>
      <w:r w:rsidR="00B41C9C" w:rsidRPr="00CC4FBC">
        <w:rPr>
          <w:rFonts w:ascii="Calibri" w:eastAsia="Calibri" w:hAnsi="Calibri" w:cs="Calibri"/>
          <w:bCs w:val="0"/>
          <w:kern w:val="0"/>
          <w:sz w:val="24"/>
          <w:szCs w:val="24"/>
          <w:lang w:val="el-GR"/>
          <w14:ligatures w14:val="none"/>
        </w:rPr>
        <w:t xml:space="preserve"> </w:t>
      </w:r>
    </w:p>
    <w:p w14:paraId="7B00648E" w14:textId="77777777" w:rsidR="007A7BC6" w:rsidRPr="006647F9" w:rsidRDefault="007A7BC6" w:rsidP="00034FBB">
      <w:pPr>
        <w:widowControl w:val="0"/>
        <w:numPr>
          <w:ilvl w:val="0"/>
          <w:numId w:val="7"/>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στους πίνακες της Απογραφής Κτιρίων της ΕΛΣΤΑΤ, πέρα από τις σαφώς καθορισμένες κατηγορίες χρήσης, όπως είναι η κατοικία, το κατάστημα ή γραφείο, το βιομηχανικό ή βιοτεχνικό κτίριο, η αποθήκη, το ξενοδοχείο, το σχολικό ή εκπαιδευτικό κτίριο, το νοσοκομείο ή η κλινική, η εκκλησία ή το μοναστήρι και ο σταθμός αυτοκινήτων, υπάρχει και η κατηγορία «Άλλη χρήση». Η κατηγορία αυτή λειτουργεί ως υπολειμματική, καθώς συγκεντρώνει όλα τα κτίρια που δεν εντάσσονται στις προαναφερθείσες εξειδικευμένες ταξινομήσεις. Ενδεικτικά, στα κτίρια «άλλης χρήσης» μπορεί να περιλαμβάνονται στρατιωτικές εγκαταστάσεις όπως στρατόπεδα και φυλάκια, πολιτιστικές ή κοινωνικές υποδομές όπως θέατρα, μουσεία, συνεδριακά κέντρα και βιβλιοθήκες, αθλητικά κτίρια όπως στάδια και κλειστά γυμναστήρια, κτίρια που σχετίζονται με τις μεταφορές όπως σταθμοί τρένων, μετρό και αεροδρόμια, καθώς και ειδικές εγκαταστάσεις όπως ερευνητικά κέντρα ή εγκαταστάσεις κοινής ωφέλειας, μεταξύ των οποίων περιλαμβάνονται αντλιοστάσια, τηλεπικοινωνιακοί κόμβοι και άλλα συναφή κτίρια. Συνεπώς, η κατηγορία «Άλλη χρήση» καλύπτει όλες εκείνες τις λειτουργίες που δεν αποτυπώνονται αυτοτελώς στις κύριες κατηγορίες της απογραφής.</w:t>
      </w:r>
    </w:p>
    <w:p w14:paraId="6588EB9F" w14:textId="77777777" w:rsidR="006647F9" w:rsidRPr="007A7BC6" w:rsidRDefault="006647F9" w:rsidP="006647F9">
      <w:pPr>
        <w:widowControl w:val="0"/>
        <w:autoSpaceDE w:val="0"/>
        <w:autoSpaceDN w:val="0"/>
        <w:spacing w:after="240" w:line="360" w:lineRule="atLeast"/>
        <w:ind w:left="360" w:right="0"/>
        <w:contextualSpacing/>
        <w:jc w:val="both"/>
        <w:rPr>
          <w:rFonts w:ascii="Calibri" w:eastAsia="Calibri" w:hAnsi="Calibri" w:cs="Calibri"/>
          <w:bCs w:val="0"/>
          <w:kern w:val="0"/>
          <w:sz w:val="24"/>
          <w:szCs w:val="24"/>
          <w:lang w:val="el-GR"/>
          <w14:ligatures w14:val="none"/>
        </w:rPr>
      </w:pPr>
    </w:p>
    <w:p w14:paraId="591E9F75" w14:textId="77777777" w:rsidR="007A7BC6" w:rsidRPr="007A7BC6" w:rsidRDefault="007A7BC6" w:rsidP="007A7BC6">
      <w:pPr>
        <w:widowControl w:val="0"/>
        <w:autoSpaceDE w:val="0"/>
        <w:autoSpaceDN w:val="0"/>
        <w:spacing w:after="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Ο ΟΤΕ θεωρεί ότι δεν πρέπει να εξαιρεθούν τα κτίρια άλλης χρήσης καθώς οι πλειονότητα των παραπάνω κατηγοριών κτιρίων απαιτούν σύνδεση με το δίκτυο οπτικών ινών:</w:t>
      </w:r>
    </w:p>
    <w:p w14:paraId="06D83FB9" w14:textId="723BF07F" w:rsidR="007A7BC6" w:rsidRPr="007A7BC6" w:rsidRDefault="007A7BC6" w:rsidP="00034FBB">
      <w:pPr>
        <w:widowControl w:val="0"/>
        <w:numPr>
          <w:ilvl w:val="0"/>
          <w:numId w:val="7"/>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Η ΕΕΤΤ υπολογίζει ότι από το σύνολο των 2.344.034 κτιρίων που καλύπτονται από υποδομές </w:t>
      </w:r>
      <w:r w:rsidRPr="007A7BC6">
        <w:rPr>
          <w:rFonts w:ascii="Calibri" w:eastAsia="Calibri" w:hAnsi="Calibri" w:cs="Calibri"/>
          <w:bCs w:val="0"/>
          <w:kern w:val="0"/>
          <w:sz w:val="24"/>
          <w:szCs w:val="24"/>
          <w:lang w:val="en-AU"/>
          <w14:ligatures w14:val="none"/>
        </w:rPr>
        <w:t>FTTH</w:t>
      </w:r>
      <w:r w:rsidRPr="007A7BC6">
        <w:rPr>
          <w:rFonts w:ascii="Calibri" w:eastAsia="Calibri" w:hAnsi="Calibri" w:cs="Calibri"/>
          <w:bCs w:val="0"/>
          <w:kern w:val="0"/>
          <w:sz w:val="24"/>
          <w:szCs w:val="24"/>
          <w:lang w:val="el-GR"/>
          <w14:ligatures w14:val="none"/>
        </w:rPr>
        <w:t xml:space="preserve"> μόνο τα 1.866.470 είναι ενεργά και έχουν πρόσβαση σε υποδομές </w:t>
      </w:r>
      <w:r w:rsidRPr="007A7BC6">
        <w:rPr>
          <w:rFonts w:ascii="Calibri" w:eastAsia="Calibri" w:hAnsi="Calibri" w:cs="Calibri"/>
          <w:bCs w:val="0"/>
          <w:kern w:val="0"/>
          <w:sz w:val="24"/>
          <w:szCs w:val="24"/>
          <w:lang w:val="en-AU"/>
          <w14:ligatures w14:val="none"/>
        </w:rPr>
        <w:t>FTTH</w:t>
      </w:r>
      <w:r w:rsidRPr="007A7BC6">
        <w:rPr>
          <w:rFonts w:ascii="Calibri" w:eastAsia="Calibri" w:hAnsi="Calibri" w:cs="Calibri"/>
          <w:bCs w:val="0"/>
          <w:kern w:val="0"/>
          <w:sz w:val="24"/>
          <w:szCs w:val="24"/>
          <w:lang w:val="el-GR"/>
          <w14:ligatures w14:val="none"/>
        </w:rPr>
        <w:t xml:space="preserve">. Η προσέγγιση αυτή δεν είναι σωστή. Όταν ένας </w:t>
      </w:r>
      <w:proofErr w:type="spellStart"/>
      <w:r w:rsidRPr="007A7BC6">
        <w:rPr>
          <w:rFonts w:ascii="Calibri" w:eastAsia="Calibri" w:hAnsi="Calibri" w:cs="Calibri"/>
          <w:bCs w:val="0"/>
          <w:kern w:val="0"/>
          <w:sz w:val="24"/>
          <w:szCs w:val="24"/>
          <w:lang w:val="el-GR"/>
          <w14:ligatures w14:val="none"/>
        </w:rPr>
        <w:t>πάροχος</w:t>
      </w:r>
      <w:proofErr w:type="spellEnd"/>
      <w:r w:rsidRPr="007A7BC6">
        <w:rPr>
          <w:rFonts w:ascii="Calibri" w:eastAsia="Calibri" w:hAnsi="Calibri" w:cs="Calibri"/>
          <w:bCs w:val="0"/>
          <w:kern w:val="0"/>
          <w:sz w:val="24"/>
          <w:szCs w:val="24"/>
          <w:lang w:val="el-GR"/>
          <w14:ligatures w14:val="none"/>
        </w:rPr>
        <w:t xml:space="preserve"> αναπτύσσει ένα δίκτυο καλύπτει το σύνολο των κτιρίων, αλλά και των οικοπέδων μίας περιοχής. </w:t>
      </w:r>
      <w:r w:rsidR="00B41C9C">
        <w:rPr>
          <w:rFonts w:ascii="Calibri" w:eastAsia="Calibri" w:hAnsi="Calibri" w:cs="Calibri"/>
          <w:bCs w:val="0"/>
          <w:kern w:val="0"/>
          <w:sz w:val="24"/>
          <w:szCs w:val="24"/>
          <w:lang w:val="el-GR"/>
          <w14:ligatures w14:val="none"/>
        </w:rPr>
        <w:sym w:font="Wingdings" w:char="F022"/>
      </w:r>
      <w:r w:rsidR="00B41C9C" w:rsidRPr="00073E36">
        <w:rPr>
          <w:rFonts w:ascii="Calibri" w:eastAsia="Calibri" w:hAnsi="Calibri" w:cs="Calibri"/>
          <w:bCs w:val="0"/>
          <w:kern w:val="0"/>
          <w:sz w:val="24"/>
          <w:szCs w:val="24"/>
          <w:lang w:val="el-GR"/>
          <w14:ligatures w14:val="none"/>
        </w:rPr>
        <w:t xml:space="preserve"> </w:t>
      </w:r>
    </w:p>
    <w:p w14:paraId="3111451E" w14:textId="77777777" w:rsidR="007A7BC6" w:rsidRPr="006647F9" w:rsidRDefault="007A7BC6" w:rsidP="00034FBB">
      <w:pPr>
        <w:widowControl w:val="0"/>
        <w:numPr>
          <w:ilvl w:val="0"/>
          <w:numId w:val="7"/>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Επιπρόσθετα η ΕΕΤΤ υπολογίζει το δίκτυο </w:t>
      </w:r>
      <w:r w:rsidRPr="007A7BC6">
        <w:rPr>
          <w:rFonts w:ascii="Calibri" w:eastAsia="Calibri" w:hAnsi="Calibri" w:cs="Calibri"/>
          <w:bCs w:val="0"/>
          <w:kern w:val="0"/>
          <w:sz w:val="24"/>
          <w:szCs w:val="24"/>
          <w14:ligatures w14:val="none"/>
        </w:rPr>
        <w:t>FTTH</w:t>
      </w:r>
      <w:r w:rsidRPr="007A7BC6">
        <w:rPr>
          <w:rFonts w:ascii="Calibri" w:eastAsia="Calibri" w:hAnsi="Calibri" w:cs="Calibri"/>
          <w:bCs w:val="0"/>
          <w:kern w:val="0"/>
          <w:sz w:val="24"/>
          <w:szCs w:val="24"/>
          <w:lang w:val="el-GR"/>
          <w14:ligatures w14:val="none"/>
        </w:rPr>
        <w:t xml:space="preserve"> σε πλήρη ανάπτυξη, διασυνδέοντας το σύνολο των συνδρομητών στην περιοχή κάλυψης, όχι όμως των κτιρίων. Σε αυτό το σενάριο θα έπρεπε </w:t>
      </w:r>
      <w:r w:rsidRPr="007A7BC6">
        <w:rPr>
          <w:rFonts w:ascii="Calibri" w:eastAsia="Calibri" w:hAnsi="Calibri" w:cs="Calibri"/>
          <w:bCs w:val="0"/>
          <w:kern w:val="0"/>
          <w:sz w:val="24"/>
          <w:szCs w:val="24"/>
          <w:lang w:val="el-GR"/>
          <w14:ligatures w14:val="none"/>
        </w:rPr>
        <w:lastRenderedPageBreak/>
        <w:t xml:space="preserve">να συνδέεται το σύνολο των κτιρίων της περιοχής και όχι μόνο αυτά που υπολογίζει η ΕΕΤΤ ως ενεργά, έννοια η οποία μεταβάλλεται με το χρόνο και δεν καλύπτει τις συνολικές απαιτήσεις πρόσβασης των δικτύων. Σε αντίθετη περίπτωση θα πρέπει να προβλέπεται τέλος σύνδεσης για κάθε νέο κτίριο στο δίκτυο </w:t>
      </w:r>
      <w:r w:rsidRPr="007A7BC6">
        <w:rPr>
          <w:rFonts w:ascii="Calibri" w:eastAsia="Calibri" w:hAnsi="Calibri" w:cs="Calibri"/>
          <w:bCs w:val="0"/>
          <w:kern w:val="0"/>
          <w:sz w:val="24"/>
          <w:szCs w:val="24"/>
          <w14:ligatures w14:val="none"/>
        </w:rPr>
        <w:t>FTTH</w:t>
      </w:r>
      <w:r w:rsidRPr="007A7BC6">
        <w:rPr>
          <w:rFonts w:ascii="Calibri" w:eastAsia="Calibri" w:hAnsi="Calibri" w:cs="Calibri"/>
          <w:bCs w:val="0"/>
          <w:kern w:val="0"/>
          <w:sz w:val="24"/>
          <w:szCs w:val="24"/>
          <w:lang w:val="el-GR"/>
          <w14:ligatures w14:val="none"/>
        </w:rPr>
        <w:t xml:space="preserve"> στα δίκτυα των </w:t>
      </w:r>
      <w:proofErr w:type="spellStart"/>
      <w:r w:rsidRPr="007A7BC6">
        <w:rPr>
          <w:rFonts w:ascii="Calibri" w:eastAsia="Calibri" w:hAnsi="Calibri" w:cs="Calibri"/>
          <w:bCs w:val="0"/>
          <w:kern w:val="0"/>
          <w:sz w:val="24"/>
          <w:szCs w:val="24"/>
          <w:lang w:val="el-GR"/>
          <w14:ligatures w14:val="none"/>
        </w:rPr>
        <w:t>παρόχων</w:t>
      </w:r>
      <w:proofErr w:type="spellEnd"/>
      <w:r w:rsidRPr="007A7BC6">
        <w:rPr>
          <w:rFonts w:ascii="Calibri" w:eastAsia="Calibri" w:hAnsi="Calibri" w:cs="Calibri"/>
          <w:bCs w:val="0"/>
          <w:kern w:val="0"/>
          <w:sz w:val="24"/>
          <w:szCs w:val="24"/>
          <w:lang w:val="el-GR"/>
          <w14:ligatures w14:val="none"/>
        </w:rPr>
        <w:t>.</w:t>
      </w:r>
    </w:p>
    <w:p w14:paraId="0F070062" w14:textId="77777777" w:rsidR="006647F9" w:rsidRPr="007A7BC6" w:rsidRDefault="006647F9" w:rsidP="006647F9">
      <w:pPr>
        <w:widowControl w:val="0"/>
        <w:autoSpaceDE w:val="0"/>
        <w:autoSpaceDN w:val="0"/>
        <w:spacing w:after="240" w:line="360" w:lineRule="atLeast"/>
        <w:ind w:left="360" w:right="0"/>
        <w:contextualSpacing/>
        <w:jc w:val="both"/>
        <w:rPr>
          <w:rFonts w:ascii="Calibri" w:eastAsia="Calibri" w:hAnsi="Calibri" w:cs="Calibri"/>
          <w:bCs w:val="0"/>
          <w:kern w:val="0"/>
          <w:sz w:val="24"/>
          <w:szCs w:val="24"/>
          <w:lang w:val="el-GR"/>
          <w14:ligatures w14:val="none"/>
        </w:rPr>
      </w:pPr>
    </w:p>
    <w:p w14:paraId="7E95707A"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Ο ΟΤΕ θεωρεί ότι η ΕΕΤΤ πρέπει να αναθεωρήσει το μοντέλο και να συμπεριλάβει το σύνολο των κτιρίων της χώρας ως επιλέξιμα για σύνδεση στο δίκτυο οπτικών ινών και να </w:t>
      </w:r>
      <w:proofErr w:type="spellStart"/>
      <w:r w:rsidRPr="007A7BC6">
        <w:rPr>
          <w:rFonts w:ascii="Calibri" w:eastAsia="Calibri" w:hAnsi="Calibri" w:cs="Calibri"/>
          <w:bCs w:val="0"/>
          <w:kern w:val="0"/>
          <w:sz w:val="24"/>
          <w:szCs w:val="24"/>
          <w:lang w:val="el-GR"/>
          <w14:ligatures w14:val="none"/>
        </w:rPr>
        <w:t>επανυπολογίσει</w:t>
      </w:r>
      <w:proofErr w:type="spellEnd"/>
      <w:r w:rsidRPr="007A7BC6">
        <w:rPr>
          <w:rFonts w:ascii="Calibri" w:eastAsia="Calibri" w:hAnsi="Calibri" w:cs="Calibri"/>
          <w:bCs w:val="0"/>
          <w:kern w:val="0"/>
          <w:sz w:val="24"/>
          <w:szCs w:val="24"/>
          <w:lang w:val="el-GR"/>
          <w14:ligatures w14:val="none"/>
        </w:rPr>
        <w:t xml:space="preserve"> το κόστος του δικτύου </w:t>
      </w:r>
      <w:r w:rsidRPr="007A7BC6">
        <w:rPr>
          <w:rFonts w:ascii="Calibri" w:eastAsia="Calibri" w:hAnsi="Calibri" w:cs="Calibri"/>
          <w:bCs w:val="0"/>
          <w:kern w:val="0"/>
          <w:sz w:val="24"/>
          <w:szCs w:val="24"/>
          <w:lang w:val="en-AU"/>
          <w14:ligatures w14:val="none"/>
        </w:rPr>
        <w:t>FTTH</w:t>
      </w:r>
      <w:r w:rsidRPr="007A7BC6">
        <w:rPr>
          <w:rFonts w:ascii="Calibri" w:eastAsia="Calibri" w:hAnsi="Calibri" w:cs="Calibri"/>
          <w:bCs w:val="0"/>
          <w:kern w:val="0"/>
          <w:sz w:val="24"/>
          <w:szCs w:val="24"/>
          <w:lang w:val="el-GR"/>
          <w14:ligatures w14:val="none"/>
        </w:rPr>
        <w:t xml:space="preserve">, ιδιαίτερα σε ότι αφορά τον αριθμό των </w:t>
      </w:r>
      <w:r w:rsidRPr="007A7BC6">
        <w:rPr>
          <w:rFonts w:ascii="Calibri" w:eastAsia="Calibri" w:hAnsi="Calibri" w:cs="Calibri"/>
          <w:bCs w:val="0"/>
          <w:kern w:val="0"/>
          <w:sz w:val="24"/>
          <w:szCs w:val="24"/>
          <w14:ligatures w14:val="none"/>
        </w:rPr>
        <w:t>BEP</w:t>
      </w:r>
      <w:r w:rsidRPr="007A7BC6">
        <w:rPr>
          <w:rFonts w:ascii="Calibri" w:eastAsia="Calibri" w:hAnsi="Calibri" w:cs="Calibri"/>
          <w:bCs w:val="0"/>
          <w:kern w:val="0"/>
          <w:sz w:val="24"/>
          <w:szCs w:val="24"/>
          <w:lang w:val="el-GR"/>
          <w14:ligatures w14:val="none"/>
        </w:rPr>
        <w:t xml:space="preserve"> και των ινών στο </w:t>
      </w:r>
      <w:r w:rsidRPr="007A7BC6">
        <w:rPr>
          <w:rFonts w:ascii="Calibri" w:eastAsia="Calibri" w:hAnsi="Calibri" w:cs="Calibri"/>
          <w:bCs w:val="0"/>
          <w:kern w:val="0"/>
          <w:sz w:val="24"/>
          <w:szCs w:val="24"/>
          <w14:ligatures w14:val="none"/>
        </w:rPr>
        <w:t>Feeder</w:t>
      </w:r>
      <w:r w:rsidRPr="007A7BC6">
        <w:rPr>
          <w:rFonts w:ascii="Calibri" w:eastAsia="Calibri" w:hAnsi="Calibri" w:cs="Calibri"/>
          <w:bCs w:val="0"/>
          <w:kern w:val="0"/>
          <w:sz w:val="24"/>
          <w:szCs w:val="24"/>
          <w:lang w:val="el-GR"/>
          <w14:ligatures w14:val="none"/>
        </w:rPr>
        <w:t xml:space="preserve"> τμήμα του δικτύου.</w:t>
      </w:r>
    </w:p>
    <w:p w14:paraId="4608FDB1" w14:textId="77777777" w:rsidR="007A7BC6" w:rsidRPr="007A7BC6" w:rsidRDefault="007A7BC6" w:rsidP="007A7BC6">
      <w:pPr>
        <w:keepNext/>
        <w:keepLines/>
        <w:widowControl w:val="0"/>
        <w:autoSpaceDE w:val="0"/>
        <w:autoSpaceDN w:val="0"/>
        <w:spacing w:before="160" w:after="80" w:line="360" w:lineRule="atLeast"/>
        <w:ind w:left="360" w:right="0" w:hanging="360"/>
        <w:jc w:val="both"/>
        <w:outlineLvl w:val="1"/>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lang w:val="el-GR"/>
          <w14:ligatures w14:val="none"/>
        </w:rPr>
        <w:t>Παράμετροι Μοντέλου:</w:t>
      </w:r>
    </w:p>
    <w:p w14:paraId="61F9556D" w14:textId="77777777" w:rsidR="007A7BC6" w:rsidRPr="007A7BC6" w:rsidRDefault="007A7BC6" w:rsidP="007A7BC6">
      <w:pPr>
        <w:keepNext/>
        <w:keepLines/>
        <w:widowControl w:val="0"/>
        <w:numPr>
          <w:ilvl w:val="1"/>
          <w:numId w:val="0"/>
        </w:numPr>
        <w:autoSpaceDE w:val="0"/>
        <w:autoSpaceDN w:val="0"/>
        <w:spacing w:before="160" w:after="80" w:line="360" w:lineRule="atLeast"/>
        <w:ind w:left="1080" w:right="0" w:hanging="360"/>
        <w:jc w:val="both"/>
        <w:outlineLvl w:val="2"/>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14:ligatures w14:val="none"/>
        </w:rPr>
        <w:t>Splitting</w:t>
      </w: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 </w:t>
      </w:r>
      <w:r w:rsidRPr="007A7BC6">
        <w:rPr>
          <w:rFonts w:asciiTheme="majorHAnsi" w:eastAsiaTheme="majorEastAsia" w:hAnsiTheme="majorHAnsi" w:cstheme="majorBidi"/>
          <w:bCs w:val="0"/>
          <w:color w:val="0F4761" w:themeColor="accent1" w:themeShade="BF"/>
          <w:kern w:val="0"/>
          <w:sz w:val="28"/>
          <w:szCs w:val="28"/>
          <w14:ligatures w14:val="none"/>
        </w:rPr>
        <w:t>Ratio</w:t>
      </w:r>
    </w:p>
    <w:p w14:paraId="354F268B" w14:textId="77777777" w:rsidR="007A7BC6" w:rsidRPr="007A7BC6" w:rsidRDefault="007A7BC6" w:rsidP="007A7BC6">
      <w:pPr>
        <w:widowControl w:val="0"/>
        <w:autoSpaceDE w:val="0"/>
        <w:autoSpaceDN w:val="0"/>
        <w:spacing w:after="240" w:line="360" w:lineRule="atLeast"/>
        <w:ind w:left="0"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Στην </w:t>
      </w:r>
      <w:proofErr w:type="spellStart"/>
      <w:r w:rsidRPr="007A7BC6">
        <w:rPr>
          <w:rFonts w:ascii="Calibri" w:eastAsia="Calibri" w:hAnsi="Calibri" w:cs="Calibri"/>
          <w:bCs w:val="0"/>
          <w:kern w:val="0"/>
          <w:sz w:val="24"/>
          <w:szCs w:val="24"/>
          <w:lang w:val="el-GR"/>
          <w14:ligatures w14:val="none"/>
        </w:rPr>
        <w:t>μοντελοποίηση</w:t>
      </w:r>
      <w:proofErr w:type="spellEnd"/>
      <w:r w:rsidRPr="007A7BC6">
        <w:rPr>
          <w:rFonts w:ascii="Calibri" w:eastAsia="Calibri" w:hAnsi="Calibri" w:cs="Calibri"/>
          <w:bCs w:val="0"/>
          <w:kern w:val="0"/>
          <w:sz w:val="24"/>
          <w:szCs w:val="24"/>
          <w:lang w:val="el-GR"/>
          <w14:ligatures w14:val="none"/>
        </w:rPr>
        <w:t xml:space="preserve"> του δικτύου FTTH από την ΕΕΤΤ χρησιμοποιείται </w:t>
      </w:r>
      <w:proofErr w:type="spellStart"/>
      <w:r w:rsidRPr="007A7BC6">
        <w:rPr>
          <w:rFonts w:ascii="Calibri" w:eastAsia="Calibri" w:hAnsi="Calibri" w:cs="Calibri"/>
          <w:bCs w:val="0"/>
          <w:kern w:val="0"/>
          <w:sz w:val="24"/>
          <w:szCs w:val="24"/>
          <w:lang w:val="el-GR"/>
          <w14:ligatures w14:val="none"/>
        </w:rPr>
        <w:t>splitting</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ratio</w:t>
      </w:r>
      <w:proofErr w:type="spellEnd"/>
      <w:r w:rsidRPr="007A7BC6">
        <w:rPr>
          <w:rFonts w:ascii="Calibri" w:eastAsia="Calibri" w:hAnsi="Calibri" w:cs="Calibri"/>
          <w:bCs w:val="0"/>
          <w:kern w:val="0"/>
          <w:sz w:val="24"/>
          <w:szCs w:val="24"/>
          <w:lang w:val="el-GR"/>
          <w14:ligatures w14:val="none"/>
        </w:rPr>
        <w:t xml:space="preserve"> 1:64 και XGSPON κάρτες για το OLT ακολουθώντας μια </w:t>
      </w:r>
      <w:proofErr w:type="spellStart"/>
      <w:r w:rsidRPr="007A7BC6">
        <w:rPr>
          <w:rFonts w:ascii="Calibri" w:eastAsia="Calibri" w:hAnsi="Calibri" w:cs="Calibri"/>
          <w:bCs w:val="0"/>
          <w:kern w:val="0"/>
          <w:sz w:val="24"/>
          <w:szCs w:val="24"/>
          <w:lang w:val="el-GR"/>
          <w14:ligatures w14:val="none"/>
        </w:rPr>
        <w:t>forward</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looking</w:t>
      </w:r>
      <w:proofErr w:type="spellEnd"/>
      <w:r w:rsidRPr="007A7BC6">
        <w:rPr>
          <w:rFonts w:ascii="Calibri" w:eastAsia="Calibri" w:hAnsi="Calibri" w:cs="Calibri"/>
          <w:bCs w:val="0"/>
          <w:kern w:val="0"/>
          <w:sz w:val="24"/>
          <w:szCs w:val="24"/>
          <w:lang w:val="el-GR"/>
          <w14:ligatures w14:val="none"/>
        </w:rPr>
        <w:t xml:space="preserve"> προσέγγιση για την κάλυψη των αναγκών των συνδρομητών. Η προσέγγιση αυτή είναι σύμφωνη με τον επί της αρχής σχεδιασμό των </w:t>
      </w:r>
      <w:proofErr w:type="spellStart"/>
      <w:r w:rsidRPr="007A7BC6">
        <w:rPr>
          <w:rFonts w:ascii="Calibri" w:eastAsia="Calibri" w:hAnsi="Calibri" w:cs="Calibri"/>
          <w:bCs w:val="0"/>
          <w:kern w:val="0"/>
          <w:sz w:val="24"/>
          <w:szCs w:val="24"/>
          <w:lang w:val="el-GR"/>
          <w14:ligatures w14:val="none"/>
        </w:rPr>
        <w:t>παρόχων</w:t>
      </w:r>
      <w:proofErr w:type="spellEnd"/>
      <w:r w:rsidRPr="007A7BC6">
        <w:rPr>
          <w:rFonts w:ascii="Calibri" w:eastAsia="Calibri" w:hAnsi="Calibri" w:cs="Calibri"/>
          <w:bCs w:val="0"/>
          <w:kern w:val="0"/>
          <w:sz w:val="24"/>
          <w:szCs w:val="24"/>
          <w:lang w:val="el-GR"/>
          <w14:ligatures w14:val="none"/>
        </w:rPr>
        <w:t xml:space="preserve"> και του ΟΤΕ, με τις παρακάτω όμως ουσιώδεις διαφοροποιήσεις:</w:t>
      </w:r>
    </w:p>
    <w:p w14:paraId="38866436" w14:textId="6B26DB3F" w:rsidR="007A7BC6" w:rsidRPr="00CC4FBC" w:rsidRDefault="007A7BC6" w:rsidP="00034FBB">
      <w:pPr>
        <w:widowControl w:val="0"/>
        <w:numPr>
          <w:ilvl w:val="0"/>
          <w:numId w:val="4"/>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CC4FBC">
        <w:rPr>
          <w:rFonts w:ascii="Calibri" w:eastAsia="Calibri" w:hAnsi="Calibri" w:cs="Calibri"/>
          <w:bCs w:val="0"/>
          <w:kern w:val="0"/>
          <w:sz w:val="24"/>
          <w:szCs w:val="24"/>
          <w:lang w:val="el-GR"/>
          <w14:ligatures w14:val="none"/>
        </w:rPr>
        <w:t xml:space="preserve">το </w:t>
      </w:r>
      <w:r w:rsidRPr="00CC4FBC">
        <w:rPr>
          <w:rFonts w:ascii="Calibri" w:eastAsia="Calibri" w:hAnsi="Calibri" w:cs="Calibri"/>
          <w:bCs w:val="0"/>
          <w:kern w:val="0"/>
          <w:sz w:val="24"/>
          <w:szCs w:val="24"/>
          <w14:ligatures w14:val="none"/>
        </w:rPr>
        <w:t>splitting</w:t>
      </w:r>
      <w:r w:rsidRPr="00CC4FBC">
        <w:rPr>
          <w:rFonts w:ascii="Calibri" w:eastAsia="Calibri" w:hAnsi="Calibri" w:cs="Calibri"/>
          <w:bCs w:val="0"/>
          <w:kern w:val="0"/>
          <w:sz w:val="24"/>
          <w:szCs w:val="24"/>
          <w:lang w:val="el-GR"/>
          <w14:ligatures w14:val="none"/>
        </w:rPr>
        <w:t xml:space="preserve"> </w:t>
      </w:r>
      <w:r w:rsidRPr="00CC4FBC">
        <w:rPr>
          <w:rFonts w:ascii="Calibri" w:eastAsia="Calibri" w:hAnsi="Calibri" w:cs="Calibri"/>
          <w:bCs w:val="0"/>
          <w:kern w:val="0"/>
          <w:sz w:val="24"/>
          <w:szCs w:val="24"/>
          <w14:ligatures w14:val="none"/>
        </w:rPr>
        <w:t>ratio</w:t>
      </w:r>
      <w:r w:rsidRPr="00CC4FBC">
        <w:rPr>
          <w:rFonts w:ascii="Calibri" w:eastAsia="Calibri" w:hAnsi="Calibri" w:cs="Calibri"/>
          <w:bCs w:val="0"/>
          <w:kern w:val="0"/>
          <w:sz w:val="24"/>
          <w:szCs w:val="24"/>
          <w:lang w:val="el-GR"/>
          <w14:ligatures w14:val="none"/>
        </w:rPr>
        <w:t xml:space="preserve"> 1:64 δεν χρησιμοποιείται στην περίπτωση των μονοκατοικιών. </w:t>
      </w:r>
      <w:r w:rsidR="00B41C9C" w:rsidRPr="00CC4FBC">
        <w:rPr>
          <w:rFonts w:ascii="Calibri" w:eastAsia="Calibri" w:hAnsi="Calibri" w:cs="Calibri"/>
          <w:bCs w:val="0"/>
          <w:kern w:val="0"/>
          <w:sz w:val="24"/>
          <w:szCs w:val="24"/>
          <w:lang w:val="el-GR"/>
          <w14:ligatures w14:val="none"/>
        </w:rPr>
        <w:sym w:font="Wingdings" w:char="F022"/>
      </w:r>
      <w:r w:rsidR="00B41C9C" w:rsidRPr="00CC4FBC">
        <w:rPr>
          <w:rFonts w:ascii="Calibri" w:eastAsia="Calibri" w:hAnsi="Calibri" w:cs="Calibri"/>
          <w:bCs w:val="0"/>
          <w:kern w:val="0"/>
          <w:sz w:val="24"/>
          <w:szCs w:val="24"/>
          <w:lang w:val="el-GR"/>
          <w14:ligatures w14:val="none"/>
        </w:rPr>
        <w:t xml:space="preserve"> </w:t>
      </w:r>
    </w:p>
    <w:p w14:paraId="5FB9BEE9" w14:textId="77777777" w:rsidR="00CC4FBC" w:rsidRPr="00CC4FBC" w:rsidRDefault="00CC4FBC" w:rsidP="00CC4FBC">
      <w:pPr>
        <w:widowControl w:val="0"/>
        <w:autoSpaceDE w:val="0"/>
        <w:autoSpaceDN w:val="0"/>
        <w:spacing w:after="240" w:line="360" w:lineRule="atLeast"/>
        <w:ind w:left="360" w:right="0"/>
        <w:contextualSpacing/>
        <w:jc w:val="both"/>
        <w:rPr>
          <w:rFonts w:ascii="Calibri" w:eastAsia="Calibri" w:hAnsi="Calibri" w:cs="Calibri"/>
          <w:bCs w:val="0"/>
          <w:kern w:val="0"/>
          <w:sz w:val="24"/>
          <w:szCs w:val="24"/>
          <w:lang w:val="el-GR"/>
          <w14:ligatures w14:val="none"/>
        </w:rPr>
      </w:pPr>
    </w:p>
    <w:p w14:paraId="16BF2A8F" w14:textId="77777777" w:rsidR="007A7BC6" w:rsidRPr="006647F9" w:rsidRDefault="007A7BC6" w:rsidP="00034FBB">
      <w:pPr>
        <w:widowControl w:val="0"/>
        <w:numPr>
          <w:ilvl w:val="0"/>
          <w:numId w:val="4"/>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αντίστοιχα για τις υπηρεσίες με ταχύτητες άνω των 3</w:t>
      </w:r>
      <w:r w:rsidRPr="007A7BC6">
        <w:rPr>
          <w:rFonts w:ascii="Calibri" w:eastAsia="Calibri" w:hAnsi="Calibri" w:cs="Calibri"/>
          <w:bCs w:val="0"/>
          <w:kern w:val="0"/>
          <w:sz w:val="24"/>
          <w:szCs w:val="24"/>
          <w14:ligatures w14:val="none"/>
        </w:rPr>
        <w:t>Gbps</w:t>
      </w:r>
      <w:r w:rsidRPr="007A7BC6">
        <w:rPr>
          <w:rFonts w:ascii="Calibri" w:eastAsia="Calibri" w:hAnsi="Calibri" w:cs="Calibri"/>
          <w:bCs w:val="0"/>
          <w:kern w:val="0"/>
          <w:sz w:val="24"/>
          <w:szCs w:val="24"/>
          <w:lang w:val="el-GR"/>
          <w14:ligatures w14:val="none"/>
        </w:rPr>
        <w:t xml:space="preserve"> χρησιμοποιείται </w:t>
      </w:r>
      <w:r w:rsidRPr="007A7BC6">
        <w:rPr>
          <w:rFonts w:ascii="Calibri" w:eastAsia="Calibri" w:hAnsi="Calibri" w:cs="Calibri"/>
          <w:bCs w:val="0"/>
          <w:kern w:val="0"/>
          <w:sz w:val="24"/>
          <w:szCs w:val="24"/>
          <w14:ligatures w14:val="none"/>
        </w:rPr>
        <w:t>splitting</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ratio</w:t>
      </w:r>
      <w:r w:rsidRPr="007A7BC6">
        <w:rPr>
          <w:rFonts w:ascii="Calibri" w:eastAsia="Calibri" w:hAnsi="Calibri" w:cs="Calibri"/>
          <w:bCs w:val="0"/>
          <w:kern w:val="0"/>
          <w:sz w:val="24"/>
          <w:szCs w:val="24"/>
          <w:lang w:val="el-GR"/>
          <w14:ligatures w14:val="none"/>
        </w:rPr>
        <w:t xml:space="preserve"> 1:32. Κάτι τέτοιο δεν φαίνεται πως λαμβάνεται υπ’ όψη στο μοντέλο της επιτροπής κατά τον υπολογισμό των ινών στο </w:t>
      </w:r>
      <w:r w:rsidRPr="007A7BC6">
        <w:rPr>
          <w:rFonts w:ascii="Calibri" w:eastAsia="Calibri" w:hAnsi="Calibri" w:cs="Calibri"/>
          <w:bCs w:val="0"/>
          <w:kern w:val="0"/>
          <w:sz w:val="24"/>
          <w:szCs w:val="24"/>
          <w14:ligatures w14:val="none"/>
        </w:rPr>
        <w:t>Feeder</w:t>
      </w:r>
      <w:r w:rsidRPr="007A7BC6">
        <w:rPr>
          <w:rFonts w:ascii="Calibri" w:eastAsia="Calibri" w:hAnsi="Calibri" w:cs="Calibri"/>
          <w:bCs w:val="0"/>
          <w:kern w:val="0"/>
          <w:sz w:val="24"/>
          <w:szCs w:val="24"/>
          <w:lang w:val="el-GR"/>
          <w14:ligatures w14:val="none"/>
        </w:rPr>
        <w:t xml:space="preserve"> τμήμα του δικτύου αλλά και στον απαραίτητο αριθμό πορτών στα </w:t>
      </w:r>
      <w:r w:rsidRPr="007A7BC6">
        <w:rPr>
          <w:rFonts w:ascii="Calibri" w:eastAsia="Calibri" w:hAnsi="Calibri" w:cs="Calibri"/>
          <w:bCs w:val="0"/>
          <w:kern w:val="0"/>
          <w:sz w:val="24"/>
          <w:szCs w:val="24"/>
          <w14:ligatures w14:val="none"/>
        </w:rPr>
        <w:t>OLTs</w:t>
      </w:r>
      <w:r w:rsidRPr="007A7BC6">
        <w:rPr>
          <w:rFonts w:ascii="Calibri" w:eastAsia="Calibri" w:hAnsi="Calibri" w:cs="Calibri"/>
          <w:bCs w:val="0"/>
          <w:kern w:val="0"/>
          <w:sz w:val="24"/>
          <w:szCs w:val="24"/>
          <w:lang w:val="el-GR"/>
          <w14:ligatures w14:val="none"/>
        </w:rPr>
        <w:t xml:space="preserve">. Η χρήση μικρότερου </w:t>
      </w:r>
      <w:proofErr w:type="spellStart"/>
      <w:r w:rsidRPr="007A7BC6">
        <w:rPr>
          <w:rFonts w:ascii="Calibri" w:eastAsia="Calibri" w:hAnsi="Calibri" w:cs="Calibri"/>
          <w:bCs w:val="0"/>
          <w:kern w:val="0"/>
          <w:sz w:val="24"/>
          <w:szCs w:val="24"/>
          <w:lang w:val="el-GR"/>
          <w14:ligatures w14:val="none"/>
        </w:rPr>
        <w:t>splitting</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ratio</w:t>
      </w:r>
      <w:proofErr w:type="spellEnd"/>
      <w:r w:rsidRPr="007A7BC6">
        <w:rPr>
          <w:rFonts w:ascii="Calibri" w:eastAsia="Calibri" w:hAnsi="Calibri" w:cs="Calibri"/>
          <w:bCs w:val="0"/>
          <w:kern w:val="0"/>
          <w:sz w:val="24"/>
          <w:szCs w:val="24"/>
          <w:lang w:val="el-GR"/>
          <w14:ligatures w14:val="none"/>
        </w:rPr>
        <w:t xml:space="preserve"> (1:32) για υπηρεσίες αυξημένων ταχυτήτων θεωρείται </w:t>
      </w:r>
      <w:proofErr w:type="spellStart"/>
      <w:r w:rsidRPr="007A7BC6">
        <w:rPr>
          <w:rFonts w:ascii="Calibri" w:eastAsia="Calibri" w:hAnsi="Calibri" w:cs="Calibri"/>
          <w:bCs w:val="0"/>
          <w:kern w:val="0"/>
          <w:sz w:val="24"/>
          <w:szCs w:val="24"/>
          <w:lang w:val="el-GR"/>
          <w14:ligatures w14:val="none"/>
        </w:rPr>
        <w:t>μελλοντοστρεφής</w:t>
      </w:r>
      <w:proofErr w:type="spellEnd"/>
      <w:r w:rsidRPr="007A7BC6">
        <w:rPr>
          <w:rFonts w:ascii="Calibri" w:eastAsia="Calibri" w:hAnsi="Calibri" w:cs="Calibri"/>
          <w:bCs w:val="0"/>
          <w:kern w:val="0"/>
          <w:sz w:val="24"/>
          <w:szCs w:val="24"/>
          <w:lang w:val="el-GR"/>
          <w14:ligatures w14:val="none"/>
        </w:rPr>
        <w:t xml:space="preserve"> επιλογή, καθώς στο χρονικό ορίζοντα της </w:t>
      </w:r>
      <w:proofErr w:type="spellStart"/>
      <w:r w:rsidRPr="007A7BC6">
        <w:rPr>
          <w:rFonts w:ascii="Calibri" w:eastAsia="Calibri" w:hAnsi="Calibri" w:cs="Calibri"/>
          <w:bCs w:val="0"/>
          <w:kern w:val="0"/>
          <w:sz w:val="24"/>
          <w:szCs w:val="24"/>
          <w:lang w:val="el-GR"/>
          <w14:ligatures w14:val="none"/>
        </w:rPr>
        <w:t>μοντελοποίησης</w:t>
      </w:r>
      <w:proofErr w:type="spellEnd"/>
      <w:r w:rsidRPr="007A7BC6">
        <w:rPr>
          <w:rFonts w:ascii="Calibri" w:eastAsia="Calibri" w:hAnsi="Calibri" w:cs="Calibri"/>
          <w:bCs w:val="0"/>
          <w:kern w:val="0"/>
          <w:sz w:val="24"/>
          <w:szCs w:val="24"/>
          <w:lang w:val="el-GR"/>
          <w14:ligatures w14:val="none"/>
        </w:rPr>
        <w:t xml:space="preserve"> (τουλάχιστον έως το 2030) αναμένεται η εμφάνιση προϊόντων με ταχύτητες έως 10 </w:t>
      </w:r>
      <w:proofErr w:type="spellStart"/>
      <w:r w:rsidRPr="007A7BC6">
        <w:rPr>
          <w:rFonts w:ascii="Calibri" w:eastAsia="Calibri" w:hAnsi="Calibri" w:cs="Calibri"/>
          <w:bCs w:val="0"/>
          <w:kern w:val="0"/>
          <w:sz w:val="24"/>
          <w:szCs w:val="24"/>
          <w:lang w:val="el-GR"/>
          <w14:ligatures w14:val="none"/>
        </w:rPr>
        <w:t>Gbps</w:t>
      </w:r>
      <w:proofErr w:type="spellEnd"/>
      <w:r w:rsidRPr="007A7BC6">
        <w:rPr>
          <w:rFonts w:ascii="Calibri" w:eastAsia="Calibri" w:hAnsi="Calibri" w:cs="Calibri"/>
          <w:bCs w:val="0"/>
          <w:kern w:val="0"/>
          <w:sz w:val="24"/>
          <w:szCs w:val="24"/>
          <w:lang w:val="el-GR"/>
          <w14:ligatures w14:val="none"/>
        </w:rPr>
        <w:t xml:space="preserve"> ανά πελάτη, έστω και σε περιορισμένο όγκο. Δεδομένου ότι το δίκτυο σχεδιάζεται πάντα με προοπτική μελλοντικών αναγκών (</w:t>
      </w:r>
      <w:proofErr w:type="spellStart"/>
      <w:r w:rsidRPr="007A7BC6">
        <w:rPr>
          <w:rFonts w:ascii="Calibri" w:eastAsia="Calibri" w:hAnsi="Calibri" w:cs="Calibri"/>
          <w:bCs w:val="0"/>
          <w:kern w:val="0"/>
          <w:sz w:val="24"/>
          <w:szCs w:val="24"/>
          <w:lang w:val="el-GR"/>
          <w14:ligatures w14:val="none"/>
        </w:rPr>
        <w:t>forward-looking</w:t>
      </w:r>
      <w:proofErr w:type="spellEnd"/>
      <w:r w:rsidRPr="007A7BC6">
        <w:rPr>
          <w:rFonts w:ascii="Calibri" w:eastAsia="Calibri" w:hAnsi="Calibri" w:cs="Calibri"/>
          <w:bCs w:val="0"/>
          <w:kern w:val="0"/>
          <w:sz w:val="24"/>
          <w:szCs w:val="24"/>
          <w:lang w:val="el-GR"/>
          <w14:ligatures w14:val="none"/>
        </w:rPr>
        <w:t xml:space="preserve">), εκτιμούμε ότι για υπηρεσίες ταχυτήτων 3–10 </w:t>
      </w:r>
      <w:proofErr w:type="spellStart"/>
      <w:r w:rsidRPr="007A7BC6">
        <w:rPr>
          <w:rFonts w:ascii="Calibri" w:eastAsia="Calibri" w:hAnsi="Calibri" w:cs="Calibri"/>
          <w:bCs w:val="0"/>
          <w:kern w:val="0"/>
          <w:sz w:val="24"/>
          <w:szCs w:val="24"/>
          <w:lang w:val="el-GR"/>
          <w14:ligatures w14:val="none"/>
        </w:rPr>
        <w:t>Gbps</w:t>
      </w:r>
      <w:proofErr w:type="spellEnd"/>
      <w:r w:rsidRPr="007A7BC6">
        <w:rPr>
          <w:rFonts w:ascii="Calibri" w:eastAsia="Calibri" w:hAnsi="Calibri" w:cs="Calibri"/>
          <w:bCs w:val="0"/>
          <w:kern w:val="0"/>
          <w:sz w:val="24"/>
          <w:szCs w:val="24"/>
          <w:lang w:val="el-GR"/>
          <w14:ligatures w14:val="none"/>
        </w:rPr>
        <w:t xml:space="preserve"> ανά πελάτη τα </w:t>
      </w:r>
      <w:proofErr w:type="spellStart"/>
      <w:r w:rsidRPr="007A7BC6">
        <w:rPr>
          <w:rFonts w:ascii="Calibri" w:eastAsia="Calibri" w:hAnsi="Calibri" w:cs="Calibri"/>
          <w:bCs w:val="0"/>
          <w:kern w:val="0"/>
          <w:sz w:val="24"/>
          <w:szCs w:val="24"/>
          <w:lang w:val="el-GR"/>
          <w14:ligatures w14:val="none"/>
        </w:rPr>
        <w:t>splitting</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ratios</w:t>
      </w:r>
      <w:proofErr w:type="spellEnd"/>
      <w:r w:rsidRPr="007A7BC6">
        <w:rPr>
          <w:rFonts w:ascii="Calibri" w:eastAsia="Calibri" w:hAnsi="Calibri" w:cs="Calibri"/>
          <w:bCs w:val="0"/>
          <w:kern w:val="0"/>
          <w:sz w:val="24"/>
          <w:szCs w:val="24"/>
          <w:lang w:val="el-GR"/>
          <w14:ligatures w14:val="none"/>
        </w:rPr>
        <w:t xml:space="preserve"> δεν θα πρέπει να υπερβαίνουν το 1:16, ώστε να αποφεύγεται τοπικό </w:t>
      </w:r>
      <w:proofErr w:type="spellStart"/>
      <w:r w:rsidRPr="007A7BC6">
        <w:rPr>
          <w:rFonts w:ascii="Calibri" w:eastAsia="Calibri" w:hAnsi="Calibri" w:cs="Calibri"/>
          <w:bCs w:val="0"/>
          <w:kern w:val="0"/>
          <w:sz w:val="24"/>
          <w:szCs w:val="24"/>
          <w:lang w:val="el-GR"/>
          <w14:ligatures w14:val="none"/>
        </w:rPr>
        <w:t>contention</w:t>
      </w:r>
      <w:proofErr w:type="spellEnd"/>
      <w:r w:rsidRPr="007A7BC6">
        <w:rPr>
          <w:rFonts w:ascii="Calibri" w:eastAsia="Calibri" w:hAnsi="Calibri" w:cs="Calibri"/>
          <w:bCs w:val="0"/>
          <w:kern w:val="0"/>
          <w:sz w:val="24"/>
          <w:szCs w:val="24"/>
          <w:lang w:val="el-GR"/>
          <w14:ligatures w14:val="none"/>
        </w:rPr>
        <w:t xml:space="preserve"> στην ταχύτητα εξυπηρέτησης κατά το </w:t>
      </w:r>
      <w:proofErr w:type="spellStart"/>
      <w:r w:rsidRPr="007A7BC6">
        <w:rPr>
          <w:rFonts w:ascii="Calibri" w:eastAsia="Calibri" w:hAnsi="Calibri" w:cs="Calibri"/>
          <w:bCs w:val="0"/>
          <w:kern w:val="0"/>
          <w:sz w:val="24"/>
          <w:szCs w:val="24"/>
          <w:lang w:val="el-GR"/>
          <w14:ligatures w14:val="none"/>
        </w:rPr>
        <w:t>busy</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hour</w:t>
      </w:r>
      <w:proofErr w:type="spellEnd"/>
      <w:r w:rsidRPr="007A7BC6">
        <w:rPr>
          <w:rFonts w:ascii="Calibri" w:eastAsia="Calibri" w:hAnsi="Calibri" w:cs="Calibri"/>
          <w:bCs w:val="0"/>
          <w:kern w:val="0"/>
          <w:sz w:val="24"/>
          <w:szCs w:val="24"/>
          <w:lang w:val="el-GR"/>
          <w14:ligatures w14:val="none"/>
        </w:rPr>
        <w:t>.</w:t>
      </w:r>
    </w:p>
    <w:p w14:paraId="7E644EB7" w14:textId="77777777" w:rsidR="006647F9" w:rsidRPr="007A7BC6" w:rsidRDefault="006647F9" w:rsidP="006647F9">
      <w:pPr>
        <w:widowControl w:val="0"/>
        <w:autoSpaceDE w:val="0"/>
        <w:autoSpaceDN w:val="0"/>
        <w:spacing w:after="240" w:line="360" w:lineRule="atLeast"/>
        <w:ind w:left="360" w:right="0"/>
        <w:contextualSpacing/>
        <w:jc w:val="both"/>
        <w:rPr>
          <w:rFonts w:ascii="Calibri" w:eastAsia="Calibri" w:hAnsi="Calibri" w:cs="Calibri"/>
          <w:bCs w:val="0"/>
          <w:kern w:val="0"/>
          <w:sz w:val="24"/>
          <w:szCs w:val="24"/>
          <w:lang w:val="el-GR"/>
          <w14:ligatures w14:val="none"/>
        </w:rPr>
      </w:pPr>
    </w:p>
    <w:p w14:paraId="3ED0799B"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Θα πρέπει να υπάρξει κατάλληλη διαφοροποίηση στις παραμέτρους του μοντέλου αλλιώς υποεκτιμώνται σημαντικά οι απαιτήσεις σε δικτυακούς πόρους.</w:t>
      </w:r>
    </w:p>
    <w:p w14:paraId="5ED5F7FD"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Να σημειωθεί επιπλέον ότι η προσέγγιση της ΕΕΤΤ να προβλέψει </w:t>
      </w:r>
      <w:r w:rsidRPr="007A7BC6">
        <w:rPr>
          <w:rFonts w:ascii="Calibri" w:eastAsia="Calibri" w:hAnsi="Calibri" w:cs="Calibri"/>
          <w:bCs w:val="0"/>
          <w:kern w:val="0"/>
          <w:sz w:val="24"/>
          <w:szCs w:val="24"/>
          <w14:ligatures w14:val="none"/>
        </w:rPr>
        <w:t>routing</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factor</w:t>
      </w:r>
      <w:r w:rsidRPr="007A7BC6">
        <w:rPr>
          <w:rFonts w:ascii="Calibri" w:eastAsia="Calibri" w:hAnsi="Calibri" w:cs="Calibri"/>
          <w:bCs w:val="0"/>
          <w:kern w:val="0"/>
          <w:sz w:val="24"/>
          <w:szCs w:val="24"/>
          <w:lang w:val="el-GR"/>
          <w14:ligatures w14:val="none"/>
        </w:rPr>
        <w:t xml:space="preserve"> 2 για τις υπηρεσίες </w:t>
      </w:r>
      <w:r w:rsidRPr="007A7BC6">
        <w:rPr>
          <w:rFonts w:ascii="Calibri" w:eastAsia="Calibri" w:hAnsi="Calibri" w:cs="Calibri"/>
          <w:bCs w:val="0"/>
          <w:kern w:val="0"/>
          <w:sz w:val="24"/>
          <w:szCs w:val="24"/>
          <w:lang w:val="el-GR"/>
          <w14:ligatures w14:val="none"/>
        </w:rPr>
        <w:lastRenderedPageBreak/>
        <w:t>1</w:t>
      </w:r>
      <w:r w:rsidRPr="007A7BC6">
        <w:rPr>
          <w:rFonts w:ascii="Calibri" w:eastAsia="Calibri" w:hAnsi="Calibri" w:cs="Calibri"/>
          <w:bCs w:val="0"/>
          <w:kern w:val="0"/>
          <w:sz w:val="24"/>
          <w:szCs w:val="24"/>
          <w14:ligatures w14:val="none"/>
        </w:rPr>
        <w:t>Gbps</w:t>
      </w:r>
      <w:r w:rsidRPr="007A7BC6">
        <w:rPr>
          <w:rFonts w:ascii="Calibri" w:eastAsia="Calibri" w:hAnsi="Calibri" w:cs="Calibri"/>
          <w:bCs w:val="0"/>
          <w:kern w:val="0"/>
          <w:sz w:val="24"/>
          <w:szCs w:val="24"/>
          <w:lang w:val="el-GR"/>
          <w14:ligatures w14:val="none"/>
        </w:rPr>
        <w:t xml:space="preserve"> και 3</w:t>
      </w:r>
      <w:r w:rsidRPr="007A7BC6">
        <w:rPr>
          <w:rFonts w:ascii="Calibri" w:eastAsia="Calibri" w:hAnsi="Calibri" w:cs="Calibri"/>
          <w:bCs w:val="0"/>
          <w:kern w:val="0"/>
          <w:sz w:val="24"/>
          <w:szCs w:val="24"/>
          <w14:ligatures w14:val="none"/>
        </w:rPr>
        <w:t>Gbps</w:t>
      </w:r>
      <w:r w:rsidRPr="007A7BC6">
        <w:rPr>
          <w:rFonts w:ascii="Calibri" w:eastAsia="Calibri" w:hAnsi="Calibri" w:cs="Calibri"/>
          <w:bCs w:val="0"/>
          <w:kern w:val="0"/>
          <w:sz w:val="24"/>
          <w:szCs w:val="24"/>
          <w:lang w:val="el-GR"/>
          <w14:ligatures w14:val="none"/>
        </w:rPr>
        <w:t xml:space="preserve"> δεν οδηγεί σε σωστά αποτελέσματα καθώς δεν έχει προβλεφθεί ως μέρος του κόστους ο συγκεκριμένος αριθμός ινών και πορτών, και κατά συνέπεια δεν περιλαμβάνονται στον αριθμητή κατά τον υπολογισμό του </w:t>
      </w:r>
      <w:r w:rsidRPr="007A7BC6">
        <w:rPr>
          <w:rFonts w:ascii="Calibri" w:eastAsia="Calibri" w:hAnsi="Calibri" w:cs="Calibri"/>
          <w:bCs w:val="0"/>
          <w:kern w:val="0"/>
          <w:sz w:val="24"/>
          <w:szCs w:val="24"/>
          <w14:ligatures w14:val="none"/>
        </w:rPr>
        <w:t>LRIC</w:t>
      </w:r>
      <w:r w:rsidRPr="007A7BC6">
        <w:rPr>
          <w:rFonts w:ascii="Calibri" w:eastAsia="Calibri" w:hAnsi="Calibri" w:cs="Calibri"/>
          <w:bCs w:val="0"/>
          <w:kern w:val="0"/>
          <w:sz w:val="24"/>
          <w:szCs w:val="24"/>
          <w:lang w:val="el-GR"/>
          <w14:ligatures w14:val="none"/>
        </w:rPr>
        <w:t xml:space="preserve"> των τμημάτων του δικτύου.</w:t>
      </w:r>
    </w:p>
    <w:p w14:paraId="51978617" w14:textId="77777777" w:rsidR="007A7BC6" w:rsidRPr="007A7BC6" w:rsidRDefault="007A7BC6" w:rsidP="007A7BC6">
      <w:pPr>
        <w:keepNext/>
        <w:keepLines/>
        <w:widowControl w:val="0"/>
        <w:numPr>
          <w:ilvl w:val="1"/>
          <w:numId w:val="0"/>
        </w:numPr>
        <w:autoSpaceDE w:val="0"/>
        <w:autoSpaceDN w:val="0"/>
        <w:spacing w:before="160" w:after="80" w:line="360" w:lineRule="atLeast"/>
        <w:ind w:left="1080" w:right="0" w:hanging="360"/>
        <w:jc w:val="both"/>
        <w:outlineLvl w:val="2"/>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Ποσοστά Επαναχρησιμοποίησης των Τεχνικών Έργων Υποδομών: </w:t>
      </w:r>
    </w:p>
    <w:p w14:paraId="3D0010C0"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Τα τεχνικά έργα υποδομής θα πρέπει να επαναχρησιμοποιούνται μόνο στις περιπτώσεις που κάτι τέτοιο είναι εφικτό. Στο </w:t>
      </w:r>
      <w:r w:rsidRPr="007A7BC6">
        <w:rPr>
          <w:rFonts w:ascii="Calibri" w:eastAsia="Calibri" w:hAnsi="Calibri" w:cs="Calibri"/>
          <w:bCs w:val="0"/>
          <w:kern w:val="0"/>
          <w:sz w:val="24"/>
          <w:szCs w:val="24"/>
          <w14:ligatures w14:val="none"/>
        </w:rPr>
        <w:t>Feeder</w:t>
      </w:r>
      <w:r w:rsidRPr="007A7BC6">
        <w:rPr>
          <w:rFonts w:ascii="Calibri" w:eastAsia="Calibri" w:hAnsi="Calibri" w:cs="Calibri"/>
          <w:bCs w:val="0"/>
          <w:kern w:val="0"/>
          <w:sz w:val="24"/>
          <w:szCs w:val="24"/>
          <w:lang w:val="el-GR"/>
          <w14:ligatures w14:val="none"/>
        </w:rPr>
        <w:t xml:space="preserve"> τμήμα του δικτύων των υποδομών </w:t>
      </w:r>
      <w:r w:rsidRPr="007A7BC6">
        <w:rPr>
          <w:rFonts w:ascii="Calibri" w:eastAsia="Calibri" w:hAnsi="Calibri" w:cs="Calibri"/>
          <w:bCs w:val="0"/>
          <w:kern w:val="0"/>
          <w:sz w:val="24"/>
          <w:szCs w:val="24"/>
          <w14:ligatures w14:val="none"/>
        </w:rPr>
        <w:t>FTTH</w:t>
      </w:r>
      <w:r w:rsidRPr="007A7BC6">
        <w:rPr>
          <w:rFonts w:ascii="Calibri" w:eastAsia="Calibri" w:hAnsi="Calibri" w:cs="Calibri"/>
          <w:bCs w:val="0"/>
          <w:kern w:val="0"/>
          <w:sz w:val="24"/>
          <w:szCs w:val="24"/>
          <w:lang w:val="el-GR"/>
          <w14:ligatures w14:val="none"/>
        </w:rPr>
        <w:t xml:space="preserve"> και </w:t>
      </w:r>
      <w:r w:rsidRPr="007A7BC6">
        <w:rPr>
          <w:rFonts w:ascii="Calibri" w:eastAsia="Calibri" w:hAnsi="Calibri" w:cs="Calibri"/>
          <w:bCs w:val="0"/>
          <w:kern w:val="0"/>
          <w:sz w:val="24"/>
          <w:szCs w:val="24"/>
          <w14:ligatures w14:val="none"/>
        </w:rPr>
        <w:t>FTTC</w:t>
      </w:r>
      <w:r w:rsidRPr="007A7BC6">
        <w:rPr>
          <w:rFonts w:ascii="Calibri" w:eastAsia="Calibri" w:hAnsi="Calibri" w:cs="Calibri"/>
          <w:bCs w:val="0"/>
          <w:kern w:val="0"/>
          <w:sz w:val="24"/>
          <w:szCs w:val="24"/>
          <w:lang w:val="el-GR"/>
          <w14:ligatures w14:val="none"/>
        </w:rPr>
        <w:t xml:space="preserve"> είναι εφικτό να επαναχρησιμοποιηθούν σε κάποιο βαθμό οι υποδομές του δικτύου χαλκού. Κάτι τέτοιο όμως δεν είναι εφικτό για το </w:t>
      </w:r>
      <w:r w:rsidRPr="007A7BC6">
        <w:rPr>
          <w:rFonts w:ascii="Calibri" w:eastAsia="Calibri" w:hAnsi="Calibri" w:cs="Calibri"/>
          <w:bCs w:val="0"/>
          <w:kern w:val="0"/>
          <w:sz w:val="24"/>
          <w:szCs w:val="24"/>
          <w14:ligatures w14:val="none"/>
        </w:rPr>
        <w:t>Distribution</w:t>
      </w:r>
      <w:r w:rsidRPr="007A7BC6">
        <w:rPr>
          <w:rFonts w:ascii="Calibri" w:eastAsia="Calibri" w:hAnsi="Calibri" w:cs="Calibri"/>
          <w:bCs w:val="0"/>
          <w:kern w:val="0"/>
          <w:sz w:val="24"/>
          <w:szCs w:val="24"/>
          <w:lang w:val="el-GR"/>
          <w14:ligatures w14:val="none"/>
        </w:rPr>
        <w:t xml:space="preserve"> τμήμα του δικτύου </w:t>
      </w:r>
      <w:r w:rsidRPr="007A7BC6">
        <w:rPr>
          <w:rFonts w:ascii="Calibri" w:eastAsia="Calibri" w:hAnsi="Calibri" w:cs="Calibri"/>
          <w:bCs w:val="0"/>
          <w:kern w:val="0"/>
          <w:sz w:val="24"/>
          <w:szCs w:val="24"/>
          <w14:ligatures w14:val="none"/>
        </w:rPr>
        <w:t>FTTH</w:t>
      </w:r>
      <w:r w:rsidRPr="007A7BC6">
        <w:rPr>
          <w:rFonts w:ascii="Calibri" w:eastAsia="Calibri" w:hAnsi="Calibri" w:cs="Calibri"/>
          <w:bCs w:val="0"/>
          <w:kern w:val="0"/>
          <w:sz w:val="24"/>
          <w:szCs w:val="24"/>
          <w:lang w:val="el-GR"/>
          <w14:ligatures w14:val="none"/>
        </w:rPr>
        <w:t xml:space="preserve"> όπου απαιτείται σημαντικά μεγαλύτερος αριθμός σωληνίσκων. Έτσι η Επιτροπή θα πρέπει να μην προβλέπει επαναχρησιμοποίηση τεχνικών έργων υποδομών στα τμήματα του δικτύου όπου είτε αναπτύσσεται αποκλειστικά </w:t>
      </w:r>
      <w:r w:rsidRPr="007A7BC6">
        <w:rPr>
          <w:rFonts w:ascii="Calibri" w:eastAsia="Calibri" w:hAnsi="Calibri" w:cs="Calibri"/>
          <w:bCs w:val="0"/>
          <w:kern w:val="0"/>
          <w:sz w:val="24"/>
          <w:szCs w:val="24"/>
          <w14:ligatures w14:val="none"/>
        </w:rPr>
        <w:t>Distribution</w:t>
      </w:r>
      <w:r w:rsidRPr="007A7BC6">
        <w:rPr>
          <w:rFonts w:ascii="Calibri" w:eastAsia="Calibri" w:hAnsi="Calibri" w:cs="Calibri"/>
          <w:bCs w:val="0"/>
          <w:kern w:val="0"/>
          <w:sz w:val="24"/>
          <w:szCs w:val="24"/>
          <w:lang w:val="el-GR"/>
          <w14:ligatures w14:val="none"/>
        </w:rPr>
        <w:t xml:space="preserve"> δίκτυο </w:t>
      </w:r>
      <w:r w:rsidRPr="007A7BC6">
        <w:rPr>
          <w:rFonts w:ascii="Calibri" w:eastAsia="Calibri" w:hAnsi="Calibri" w:cs="Calibri"/>
          <w:bCs w:val="0"/>
          <w:kern w:val="0"/>
          <w:sz w:val="24"/>
          <w:szCs w:val="24"/>
          <w14:ligatures w14:val="none"/>
        </w:rPr>
        <w:t>FTTH</w:t>
      </w:r>
      <w:r w:rsidRPr="007A7BC6">
        <w:rPr>
          <w:rFonts w:ascii="Calibri" w:eastAsia="Calibri" w:hAnsi="Calibri" w:cs="Calibri"/>
          <w:bCs w:val="0"/>
          <w:kern w:val="0"/>
          <w:sz w:val="24"/>
          <w:szCs w:val="24"/>
          <w:lang w:val="el-GR"/>
          <w14:ligatures w14:val="none"/>
        </w:rPr>
        <w:t xml:space="preserve"> είτε κοινά </w:t>
      </w:r>
      <w:r w:rsidRPr="007A7BC6">
        <w:rPr>
          <w:rFonts w:ascii="Calibri" w:eastAsia="Calibri" w:hAnsi="Calibri" w:cs="Calibri"/>
          <w:bCs w:val="0"/>
          <w:kern w:val="0"/>
          <w:sz w:val="24"/>
          <w:szCs w:val="24"/>
          <w14:ligatures w14:val="none"/>
        </w:rPr>
        <w:t>Distribution</w:t>
      </w:r>
      <w:r w:rsidRPr="007A7BC6">
        <w:rPr>
          <w:rFonts w:ascii="Calibri" w:eastAsia="Calibri" w:hAnsi="Calibri" w:cs="Calibri"/>
          <w:bCs w:val="0"/>
          <w:kern w:val="0"/>
          <w:sz w:val="24"/>
          <w:szCs w:val="24"/>
          <w:lang w:val="el-GR"/>
          <w14:ligatures w14:val="none"/>
        </w:rPr>
        <w:t xml:space="preserve"> και </w:t>
      </w:r>
      <w:r w:rsidRPr="007A7BC6">
        <w:rPr>
          <w:rFonts w:ascii="Calibri" w:eastAsia="Calibri" w:hAnsi="Calibri" w:cs="Calibri"/>
          <w:bCs w:val="0"/>
          <w:kern w:val="0"/>
          <w:sz w:val="24"/>
          <w:szCs w:val="24"/>
          <w14:ligatures w14:val="none"/>
        </w:rPr>
        <w:t>Feeder</w:t>
      </w:r>
      <w:r w:rsidRPr="007A7BC6">
        <w:rPr>
          <w:rFonts w:ascii="Calibri" w:eastAsia="Calibri" w:hAnsi="Calibri" w:cs="Calibri"/>
          <w:bCs w:val="0"/>
          <w:kern w:val="0"/>
          <w:sz w:val="24"/>
          <w:szCs w:val="24"/>
          <w:lang w:val="el-GR"/>
          <w14:ligatures w14:val="none"/>
        </w:rPr>
        <w:t xml:space="preserve"> δίκτυο </w:t>
      </w:r>
      <w:r w:rsidRPr="007A7BC6">
        <w:rPr>
          <w:rFonts w:ascii="Calibri" w:eastAsia="Calibri" w:hAnsi="Calibri" w:cs="Calibri"/>
          <w:bCs w:val="0"/>
          <w:kern w:val="0"/>
          <w:sz w:val="24"/>
          <w:szCs w:val="24"/>
          <w14:ligatures w14:val="none"/>
        </w:rPr>
        <w:t>FTTH</w:t>
      </w:r>
      <w:r w:rsidRPr="007A7BC6">
        <w:rPr>
          <w:rFonts w:ascii="Calibri" w:eastAsia="Calibri" w:hAnsi="Calibri" w:cs="Calibri"/>
          <w:bCs w:val="0"/>
          <w:kern w:val="0"/>
          <w:sz w:val="24"/>
          <w:szCs w:val="24"/>
          <w:lang w:val="el-GR"/>
          <w14:ligatures w14:val="none"/>
        </w:rPr>
        <w:t>.</w:t>
      </w:r>
    </w:p>
    <w:p w14:paraId="468F5AE9" w14:textId="4CB5FF7D"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Επιπλέον η διαφοροποίηση της προσέγγισης της επαναχρησιμοποίησης των υποδομών μεταξύ του δικτύου </w:t>
      </w:r>
      <w:r w:rsidRPr="007A7BC6">
        <w:rPr>
          <w:rFonts w:ascii="Calibri" w:eastAsia="Calibri" w:hAnsi="Calibri" w:cs="Calibri"/>
          <w:bCs w:val="0"/>
          <w:kern w:val="0"/>
          <w:sz w:val="24"/>
          <w:szCs w:val="24"/>
          <w14:ligatures w14:val="none"/>
        </w:rPr>
        <w:t>VHCN</w:t>
      </w:r>
      <w:r w:rsidRPr="007A7BC6">
        <w:rPr>
          <w:rFonts w:ascii="Calibri" w:eastAsia="Calibri" w:hAnsi="Calibri" w:cs="Calibri"/>
          <w:bCs w:val="0"/>
          <w:kern w:val="0"/>
          <w:sz w:val="24"/>
          <w:szCs w:val="24"/>
          <w:lang w:val="el-GR"/>
          <w14:ligatures w14:val="none"/>
        </w:rPr>
        <w:t>/</w:t>
      </w:r>
      <w:r w:rsidRPr="007A7BC6">
        <w:rPr>
          <w:rFonts w:ascii="Calibri" w:eastAsia="Calibri" w:hAnsi="Calibri" w:cs="Calibri"/>
          <w:bCs w:val="0"/>
          <w:kern w:val="0"/>
          <w:sz w:val="24"/>
          <w:szCs w:val="24"/>
          <w14:ligatures w14:val="none"/>
        </w:rPr>
        <w:t>FTTC</w:t>
      </w:r>
      <w:r w:rsidRPr="007A7BC6">
        <w:rPr>
          <w:rFonts w:ascii="Calibri" w:eastAsia="Calibri" w:hAnsi="Calibri" w:cs="Calibri"/>
          <w:bCs w:val="0"/>
          <w:kern w:val="0"/>
          <w:sz w:val="24"/>
          <w:szCs w:val="24"/>
          <w:lang w:val="el-GR"/>
          <w14:ligatures w14:val="none"/>
        </w:rPr>
        <w:t xml:space="preserve"> και του δικτύου χαλκού δεν είναι σύμφωνη με τη Σύσταση. </w:t>
      </w:r>
      <w:r w:rsidR="00B41C9C">
        <w:rPr>
          <w:rFonts w:ascii="Calibri" w:eastAsia="Calibri" w:hAnsi="Calibri" w:cs="Calibri"/>
          <w:bCs w:val="0"/>
          <w:kern w:val="0"/>
          <w:sz w:val="24"/>
          <w:szCs w:val="24"/>
          <w:lang w:val="el-GR"/>
          <w14:ligatures w14:val="none"/>
        </w:rPr>
        <w:sym w:font="Wingdings" w:char="F022"/>
      </w:r>
      <w:r w:rsidR="00B41C9C" w:rsidRPr="00073E36">
        <w:rPr>
          <w:rFonts w:ascii="Calibri" w:eastAsia="Calibri" w:hAnsi="Calibri" w:cs="Calibri"/>
          <w:bCs w:val="0"/>
          <w:kern w:val="0"/>
          <w:sz w:val="24"/>
          <w:szCs w:val="24"/>
          <w:lang w:val="el-GR"/>
          <w14:ligatures w14:val="none"/>
        </w:rPr>
        <w:t xml:space="preserve"> </w:t>
      </w:r>
    </w:p>
    <w:p w14:paraId="049F693A" w14:textId="00C42AAF"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Σημειώνουμε ότι με βάση τα στοιχεία της Εταιρείας μας κάθε χρόνο πραγματοποιούνται σημαντικές επανεπενδύσεις στο υπόγειο δίκτυο χαλκού με εγκατάσταση περισσότερων </w:t>
      </w:r>
      <w:r w:rsidR="00B41C9C">
        <w:rPr>
          <w:rFonts w:ascii="Calibri" w:eastAsia="Calibri" w:hAnsi="Calibri" w:cs="Calibri"/>
          <w:bCs w:val="0"/>
          <w:kern w:val="0"/>
          <w:sz w:val="24"/>
          <w:szCs w:val="24"/>
          <w:lang w:val="el-GR"/>
          <w14:ligatures w14:val="none"/>
        </w:rPr>
        <w:sym w:font="Wingdings" w:char="F022"/>
      </w:r>
      <w:r w:rsidR="00B41C9C" w:rsidRPr="00073E36">
        <w:rPr>
          <w:rFonts w:ascii="Calibri" w:eastAsia="Calibri" w:hAnsi="Calibri" w:cs="Calibri"/>
          <w:bCs w:val="0"/>
          <w:kern w:val="0"/>
          <w:sz w:val="24"/>
          <w:szCs w:val="24"/>
          <w:lang w:val="el-GR"/>
          <w14:ligatures w14:val="none"/>
        </w:rPr>
        <w:t xml:space="preserve"> </w:t>
      </w:r>
    </w:p>
    <w:p w14:paraId="72947B9B" w14:textId="77777777" w:rsidR="007A7BC6" w:rsidRPr="007A7BC6" w:rsidRDefault="007A7BC6" w:rsidP="007A7BC6">
      <w:pPr>
        <w:keepNext/>
        <w:keepLines/>
        <w:widowControl w:val="0"/>
        <w:numPr>
          <w:ilvl w:val="1"/>
          <w:numId w:val="0"/>
        </w:numPr>
        <w:autoSpaceDE w:val="0"/>
        <w:autoSpaceDN w:val="0"/>
        <w:spacing w:before="160" w:after="80" w:line="360" w:lineRule="atLeast"/>
        <w:ind w:left="1080" w:right="0" w:hanging="360"/>
        <w:jc w:val="both"/>
        <w:outlineLvl w:val="2"/>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Κοινά Κόστη: </w:t>
      </w:r>
    </w:p>
    <w:p w14:paraId="4556E996"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Σύμφωνα με την ΕΕΤΤ το ποσοστό EPMU 10% που χρησιμοποιήθηκε για τον προσδιορισμό των γενικών εξόδων που δεν συνδέονται με αμιγώς δικτυακά στοιχεία (κοινά κόστη) υπολογίστηκε χρησιμοποιώντας συγκριτική αξιολόγηση (</w:t>
      </w:r>
      <w:proofErr w:type="spellStart"/>
      <w:r w:rsidRPr="007A7BC6">
        <w:rPr>
          <w:rFonts w:ascii="Calibri" w:eastAsia="Calibri" w:hAnsi="Calibri" w:cs="Calibri"/>
          <w:bCs w:val="0"/>
          <w:kern w:val="0"/>
          <w:sz w:val="24"/>
          <w:szCs w:val="24"/>
          <w:lang w:val="el-GR"/>
          <w14:ligatures w14:val="none"/>
        </w:rPr>
        <w:t>benchmarking</w:t>
      </w:r>
      <w:proofErr w:type="spellEnd"/>
      <w:r w:rsidRPr="007A7BC6">
        <w:rPr>
          <w:rFonts w:ascii="Calibri" w:eastAsia="Calibri" w:hAnsi="Calibri" w:cs="Calibri"/>
          <w:bCs w:val="0"/>
          <w:kern w:val="0"/>
          <w:sz w:val="24"/>
          <w:szCs w:val="24"/>
          <w:lang w:val="el-GR"/>
          <w14:ligatures w14:val="none"/>
        </w:rPr>
        <w:t xml:space="preserve">) μοντέλων άλλων χωρών (Αυστρία, Ελβετία, Κύπρος, Κροατία, Ιταλία, Σερβία, Σλοβακία και Σλοβενία), συνδυαστικά με τα στοιχεία που διέθεσαν οι </w:t>
      </w:r>
      <w:proofErr w:type="spellStart"/>
      <w:r w:rsidRPr="007A7BC6">
        <w:rPr>
          <w:rFonts w:ascii="Calibri" w:eastAsia="Calibri" w:hAnsi="Calibri" w:cs="Calibri"/>
          <w:bCs w:val="0"/>
          <w:kern w:val="0"/>
          <w:sz w:val="24"/>
          <w:szCs w:val="24"/>
          <w:lang w:val="el-GR"/>
          <w14:ligatures w14:val="none"/>
        </w:rPr>
        <w:t>πάροχοι</w:t>
      </w:r>
      <w:proofErr w:type="spellEnd"/>
      <w:r w:rsidRPr="007A7BC6">
        <w:rPr>
          <w:rFonts w:ascii="Calibri" w:eastAsia="Calibri" w:hAnsi="Calibri" w:cs="Calibri"/>
          <w:bCs w:val="0"/>
          <w:kern w:val="0"/>
          <w:sz w:val="24"/>
          <w:szCs w:val="24"/>
          <w:lang w:val="el-GR"/>
          <w14:ligatures w14:val="none"/>
        </w:rPr>
        <w:t xml:space="preserve"> στο πλαίσιο της Δ.Δ. Σχετικά με την προσέγγιση της ΕΕΤΤ να βασιστεί κυρίως σε στοιχεία </w:t>
      </w:r>
      <w:r w:rsidRPr="007A7BC6">
        <w:rPr>
          <w:rFonts w:ascii="Calibri" w:eastAsia="Calibri" w:hAnsi="Calibri" w:cs="Calibri"/>
          <w:bCs w:val="0"/>
          <w:kern w:val="0"/>
          <w:sz w:val="24"/>
          <w:szCs w:val="24"/>
          <w14:ligatures w14:val="none"/>
        </w:rPr>
        <w:t>benchmarking</w:t>
      </w:r>
      <w:r w:rsidRPr="007A7BC6">
        <w:rPr>
          <w:rFonts w:ascii="Calibri" w:eastAsia="Calibri" w:hAnsi="Calibri" w:cs="Calibri"/>
          <w:bCs w:val="0"/>
          <w:kern w:val="0"/>
          <w:sz w:val="24"/>
          <w:szCs w:val="24"/>
          <w:lang w:val="el-GR"/>
          <w14:ligatures w14:val="none"/>
        </w:rPr>
        <w:t xml:space="preserve">, θα θέλαμε να επισημάνουμε ότι η μεθοδολογία του </w:t>
      </w:r>
      <w:proofErr w:type="spellStart"/>
      <w:r w:rsidRPr="007A7BC6">
        <w:rPr>
          <w:rFonts w:ascii="Calibri" w:eastAsia="Calibri" w:hAnsi="Calibri" w:cs="Calibri"/>
          <w:bCs w:val="0"/>
          <w:kern w:val="0"/>
          <w:sz w:val="24"/>
          <w:szCs w:val="24"/>
          <w:lang w:val="el-GR"/>
          <w14:ligatures w14:val="none"/>
        </w:rPr>
        <w:t>benchmarking</w:t>
      </w:r>
      <w:proofErr w:type="spellEnd"/>
      <w:r w:rsidRPr="007A7BC6">
        <w:rPr>
          <w:rFonts w:ascii="Calibri" w:eastAsia="Calibri" w:hAnsi="Calibri" w:cs="Calibri"/>
          <w:bCs w:val="0"/>
          <w:kern w:val="0"/>
          <w:sz w:val="24"/>
          <w:szCs w:val="24"/>
          <w:lang w:val="el-GR"/>
          <w14:ligatures w14:val="none"/>
        </w:rPr>
        <w:t xml:space="preserve"> ενδείκνυται να εφαρμόζεται όταν απουσιάζουν διαθέσιμα στοιχεία της αγοράς, ενώ σε περιπτώσεις ύπαρξης επαρκών δεδομένων θα πρέπει να λειτουργεί επικουρικά, ως μηχανισμός επαλήθευσης και αξιολόγησης της αξιοπιστίας τους. Επιπλέον, η εφαρμογή της μεθοδολογίας </w:t>
      </w:r>
      <w:proofErr w:type="spellStart"/>
      <w:r w:rsidRPr="007A7BC6">
        <w:rPr>
          <w:rFonts w:ascii="Calibri" w:eastAsia="Calibri" w:hAnsi="Calibri" w:cs="Calibri"/>
          <w:bCs w:val="0"/>
          <w:kern w:val="0"/>
          <w:sz w:val="24"/>
          <w:szCs w:val="24"/>
          <w:lang w:val="el-GR"/>
          <w14:ligatures w14:val="none"/>
        </w:rPr>
        <w:t>benchmarking</w:t>
      </w:r>
      <w:proofErr w:type="spellEnd"/>
      <w:r w:rsidRPr="007A7BC6">
        <w:rPr>
          <w:rFonts w:ascii="Calibri" w:eastAsia="Calibri" w:hAnsi="Calibri" w:cs="Calibri"/>
          <w:bCs w:val="0"/>
          <w:kern w:val="0"/>
          <w:sz w:val="24"/>
          <w:szCs w:val="24"/>
          <w:lang w:val="el-GR"/>
          <w14:ligatures w14:val="none"/>
        </w:rPr>
        <w:t xml:space="preserve"> θα πρέπει να πραγματοποιείται με ιδιαίτερη προσοχή, προκειμένου να διασφαλίζεται ότι τα συγκριτικά στοιχεία αφορούν ταυτόσημες παραμέτρους και συνθήκες αγοράς.</w:t>
      </w:r>
    </w:p>
    <w:p w14:paraId="324BF822" w14:textId="77777777" w:rsid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14:ligatures w14:val="none"/>
        </w:rPr>
      </w:pPr>
      <w:r w:rsidRPr="007A7BC6">
        <w:rPr>
          <w:rFonts w:ascii="Calibri" w:eastAsia="Calibri" w:hAnsi="Calibri" w:cs="Calibri"/>
          <w:bCs w:val="0"/>
          <w:kern w:val="0"/>
          <w:sz w:val="24"/>
          <w:szCs w:val="24"/>
          <w:lang w:val="el-GR"/>
          <w14:ligatures w14:val="none"/>
        </w:rPr>
        <w:t>Η ΕΕΤΤ αναφέρει ότι το κοινό κόστος που σχετίζεται με τα γενικά εταιρικά κόστη (</w:t>
      </w:r>
      <w:proofErr w:type="spellStart"/>
      <w:r w:rsidRPr="007A7BC6">
        <w:rPr>
          <w:rFonts w:ascii="Calibri" w:eastAsia="Calibri" w:hAnsi="Calibri" w:cs="Calibri"/>
          <w:bCs w:val="0"/>
          <w:kern w:val="0"/>
          <w:sz w:val="24"/>
          <w:szCs w:val="24"/>
          <w:lang w:val="el-GR"/>
          <w14:ligatures w14:val="none"/>
        </w:rPr>
        <w:t>Business</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lastRenderedPageBreak/>
        <w:t>Overheads</w:t>
      </w:r>
      <w:proofErr w:type="spellEnd"/>
      <w:r w:rsidRPr="007A7BC6">
        <w:rPr>
          <w:rFonts w:ascii="Calibri" w:eastAsia="Calibri" w:hAnsi="Calibri" w:cs="Calibri"/>
          <w:bCs w:val="0"/>
          <w:kern w:val="0"/>
          <w:sz w:val="24"/>
          <w:szCs w:val="24"/>
          <w:lang w:val="el-GR"/>
          <w14:ligatures w14:val="none"/>
        </w:rPr>
        <w:t xml:space="preserve">) ή γενικά και διαχειριστικά κόστη (General &amp; Administrative), επιμερίζεται στις υπηρεσίες του δικτύου σύμφωνα με τη μεθοδολογία του </w:t>
      </w:r>
      <w:proofErr w:type="spellStart"/>
      <w:r w:rsidRPr="007A7BC6">
        <w:rPr>
          <w:rFonts w:ascii="Calibri" w:eastAsia="Calibri" w:hAnsi="Calibri" w:cs="Calibri"/>
          <w:bCs w:val="0"/>
          <w:kern w:val="0"/>
          <w:sz w:val="24"/>
          <w:szCs w:val="24"/>
          <w:lang w:val="el-GR"/>
          <w14:ligatures w14:val="none"/>
        </w:rPr>
        <w:t>Equi-Proportional</w:t>
      </w:r>
      <w:proofErr w:type="spellEnd"/>
      <w:r w:rsidRPr="007A7BC6">
        <w:rPr>
          <w:rFonts w:ascii="Calibri" w:eastAsia="Calibri" w:hAnsi="Calibri" w:cs="Calibri"/>
          <w:bCs w:val="0"/>
          <w:kern w:val="0"/>
          <w:sz w:val="24"/>
          <w:szCs w:val="24"/>
          <w:lang w:val="el-GR"/>
          <w14:ligatures w14:val="none"/>
        </w:rPr>
        <w:t xml:space="preserve"> Mark-</w:t>
      </w:r>
      <w:proofErr w:type="spellStart"/>
      <w:r w:rsidRPr="007A7BC6">
        <w:rPr>
          <w:rFonts w:ascii="Calibri" w:eastAsia="Calibri" w:hAnsi="Calibri" w:cs="Calibri"/>
          <w:bCs w:val="0"/>
          <w:kern w:val="0"/>
          <w:sz w:val="24"/>
          <w:szCs w:val="24"/>
          <w:lang w:val="el-GR"/>
          <w14:ligatures w14:val="none"/>
        </w:rPr>
        <w:t>Up</w:t>
      </w:r>
      <w:proofErr w:type="spellEnd"/>
      <w:r w:rsidRPr="007A7BC6">
        <w:rPr>
          <w:rFonts w:ascii="Calibri" w:eastAsia="Calibri" w:hAnsi="Calibri" w:cs="Calibri"/>
          <w:bCs w:val="0"/>
          <w:kern w:val="0"/>
          <w:sz w:val="24"/>
          <w:szCs w:val="24"/>
          <w:lang w:val="el-GR"/>
          <w14:ligatures w14:val="none"/>
        </w:rPr>
        <w:t xml:space="preserve"> (EPMU). Σύμφωνα με την ΕΕΤΤ τα εν λόγω </w:t>
      </w:r>
      <w:proofErr w:type="spellStart"/>
      <w:r w:rsidRPr="007A7BC6">
        <w:rPr>
          <w:rFonts w:ascii="Calibri" w:eastAsia="Calibri" w:hAnsi="Calibri" w:cs="Calibri"/>
          <w:bCs w:val="0"/>
          <w:kern w:val="0"/>
          <w:sz w:val="24"/>
          <w:szCs w:val="24"/>
          <w:lang w:val="el-GR"/>
          <w14:ligatures w14:val="none"/>
        </w:rPr>
        <w:t>overheads</w:t>
      </w:r>
      <w:proofErr w:type="spellEnd"/>
      <w:r w:rsidRPr="007A7BC6">
        <w:rPr>
          <w:rFonts w:ascii="Calibri" w:eastAsia="Calibri" w:hAnsi="Calibri" w:cs="Calibri"/>
          <w:bCs w:val="0"/>
          <w:kern w:val="0"/>
          <w:sz w:val="24"/>
          <w:szCs w:val="24"/>
          <w:lang w:val="el-GR"/>
          <w14:ligatures w14:val="none"/>
        </w:rPr>
        <w:t xml:space="preserve"> αφορούν «</w:t>
      </w:r>
      <w:r w:rsidRPr="007A7BC6">
        <w:rPr>
          <w:rFonts w:ascii="Calibri" w:eastAsia="Calibri" w:hAnsi="Calibri" w:cs="Calibri"/>
          <w:bCs w:val="0"/>
          <w:i/>
          <w:iCs/>
          <w:kern w:val="0"/>
          <w:sz w:val="24"/>
          <w:szCs w:val="24"/>
          <w:lang w:val="el-GR"/>
          <w14:ligatures w14:val="none"/>
        </w:rPr>
        <w:t xml:space="preserve">όλες τις δραστηριότητες και υπηρεσίες του </w:t>
      </w:r>
      <w:proofErr w:type="spellStart"/>
      <w:r w:rsidRPr="007A7BC6">
        <w:rPr>
          <w:rFonts w:ascii="Calibri" w:eastAsia="Calibri" w:hAnsi="Calibri" w:cs="Calibri"/>
          <w:bCs w:val="0"/>
          <w:i/>
          <w:iCs/>
          <w:kern w:val="0"/>
          <w:sz w:val="24"/>
          <w:szCs w:val="24"/>
          <w:lang w:val="el-GR"/>
          <w14:ligatures w14:val="none"/>
        </w:rPr>
        <w:t>παρόχου</w:t>
      </w:r>
      <w:proofErr w:type="spellEnd"/>
      <w:r w:rsidRPr="007A7BC6">
        <w:rPr>
          <w:rFonts w:ascii="Calibri" w:eastAsia="Calibri" w:hAnsi="Calibri" w:cs="Calibri"/>
          <w:bCs w:val="0"/>
          <w:i/>
          <w:iCs/>
          <w:kern w:val="0"/>
          <w:sz w:val="24"/>
          <w:szCs w:val="24"/>
          <w:lang w:val="el-GR"/>
          <w14:ligatures w14:val="none"/>
        </w:rPr>
        <w:t xml:space="preserve"> που δεν έχουν άμεση συσχέτιση με το δίκτυο και τη παροχή των επιμέρους υπηρεσιών (non-</w:t>
      </w:r>
      <w:proofErr w:type="spellStart"/>
      <w:r w:rsidRPr="007A7BC6">
        <w:rPr>
          <w:rFonts w:ascii="Calibri" w:eastAsia="Calibri" w:hAnsi="Calibri" w:cs="Calibri"/>
          <w:bCs w:val="0"/>
          <w:i/>
          <w:iCs/>
          <w:kern w:val="0"/>
          <w:sz w:val="24"/>
          <w:szCs w:val="24"/>
          <w:lang w:val="el-GR"/>
          <w14:ligatures w14:val="none"/>
        </w:rPr>
        <w:t>network</w:t>
      </w:r>
      <w:proofErr w:type="spellEnd"/>
      <w:r w:rsidRPr="007A7BC6">
        <w:rPr>
          <w:rFonts w:ascii="Calibri" w:eastAsia="Calibri" w:hAnsi="Calibri" w:cs="Calibri"/>
          <w:bCs w:val="0"/>
          <w:i/>
          <w:iCs/>
          <w:kern w:val="0"/>
          <w:sz w:val="24"/>
          <w:szCs w:val="24"/>
          <w:lang w:val="el-GR"/>
          <w14:ligatures w14:val="none"/>
        </w:rPr>
        <w:t xml:space="preserve"> </w:t>
      </w:r>
      <w:proofErr w:type="spellStart"/>
      <w:r w:rsidRPr="007A7BC6">
        <w:rPr>
          <w:rFonts w:ascii="Calibri" w:eastAsia="Calibri" w:hAnsi="Calibri" w:cs="Calibri"/>
          <w:bCs w:val="0"/>
          <w:i/>
          <w:iCs/>
          <w:kern w:val="0"/>
          <w:sz w:val="24"/>
          <w:szCs w:val="24"/>
          <w:lang w:val="el-GR"/>
          <w14:ligatures w14:val="none"/>
        </w:rPr>
        <w:t>common</w:t>
      </w:r>
      <w:proofErr w:type="spellEnd"/>
      <w:r w:rsidRPr="007A7BC6">
        <w:rPr>
          <w:rFonts w:ascii="Calibri" w:eastAsia="Calibri" w:hAnsi="Calibri" w:cs="Calibri"/>
          <w:bCs w:val="0"/>
          <w:i/>
          <w:iCs/>
          <w:kern w:val="0"/>
          <w:sz w:val="24"/>
          <w:szCs w:val="24"/>
          <w:lang w:val="el-GR"/>
          <w14:ligatures w14:val="none"/>
        </w:rPr>
        <w:t xml:space="preserve"> </w:t>
      </w:r>
      <w:proofErr w:type="spellStart"/>
      <w:r w:rsidRPr="007A7BC6">
        <w:rPr>
          <w:rFonts w:ascii="Calibri" w:eastAsia="Calibri" w:hAnsi="Calibri" w:cs="Calibri"/>
          <w:bCs w:val="0"/>
          <w:i/>
          <w:iCs/>
          <w:kern w:val="0"/>
          <w:sz w:val="24"/>
          <w:szCs w:val="24"/>
          <w:lang w:val="el-GR"/>
          <w14:ligatures w14:val="none"/>
        </w:rPr>
        <w:t>costs</w:t>
      </w:r>
      <w:proofErr w:type="spellEnd"/>
      <w:r w:rsidRPr="007A7BC6">
        <w:rPr>
          <w:rFonts w:ascii="Calibri" w:eastAsia="Calibri" w:hAnsi="Calibri" w:cs="Calibri"/>
          <w:bCs w:val="0"/>
          <w:i/>
          <w:iCs/>
          <w:kern w:val="0"/>
          <w:sz w:val="24"/>
          <w:szCs w:val="24"/>
          <w:lang w:val="el-GR"/>
          <w14:ligatures w14:val="none"/>
        </w:rPr>
        <w:t xml:space="preserve">) και περιλαμβάνουν: το κόστος των οχημάτων, το κόστος των εργαλείων και εργαστηρίων, το κόστος οργάνωσης αποθήκης υλικών, το κόστος των γραφείων των κατά τόπους τεχνικών ομάδων, το κόστος των γραφείων μελετών και σχεδίασης, το κόστος για το κέντρο διαχείρισης και υποστήριξης των συστημάτων IT, το κόστος γραμματειακής υποστήριξης, κόστη που σχετίζονται με τις υποστηρικτές λειτουργίες (HR, </w:t>
      </w:r>
      <w:proofErr w:type="spellStart"/>
      <w:r w:rsidRPr="007A7BC6">
        <w:rPr>
          <w:rFonts w:ascii="Calibri" w:eastAsia="Calibri" w:hAnsi="Calibri" w:cs="Calibri"/>
          <w:bCs w:val="0"/>
          <w:i/>
          <w:iCs/>
          <w:kern w:val="0"/>
          <w:sz w:val="24"/>
          <w:szCs w:val="24"/>
          <w:lang w:val="el-GR"/>
          <w14:ligatures w14:val="none"/>
        </w:rPr>
        <w:t>Finance</w:t>
      </w:r>
      <w:proofErr w:type="spellEnd"/>
      <w:r w:rsidRPr="007A7BC6">
        <w:rPr>
          <w:rFonts w:ascii="Calibri" w:eastAsia="Calibri" w:hAnsi="Calibri" w:cs="Calibri"/>
          <w:bCs w:val="0"/>
          <w:i/>
          <w:iCs/>
          <w:kern w:val="0"/>
          <w:sz w:val="24"/>
          <w:szCs w:val="24"/>
          <w:lang w:val="el-GR"/>
          <w14:ligatures w14:val="none"/>
        </w:rPr>
        <w:t xml:space="preserve"> and </w:t>
      </w:r>
      <w:proofErr w:type="spellStart"/>
      <w:r w:rsidRPr="007A7BC6">
        <w:rPr>
          <w:rFonts w:ascii="Calibri" w:eastAsia="Calibri" w:hAnsi="Calibri" w:cs="Calibri"/>
          <w:bCs w:val="0"/>
          <w:i/>
          <w:iCs/>
          <w:kern w:val="0"/>
          <w:sz w:val="24"/>
          <w:szCs w:val="24"/>
          <w:lang w:val="el-GR"/>
          <w14:ligatures w14:val="none"/>
        </w:rPr>
        <w:t>Accounting</w:t>
      </w:r>
      <w:proofErr w:type="spellEnd"/>
      <w:r w:rsidRPr="007A7BC6">
        <w:rPr>
          <w:rFonts w:ascii="Calibri" w:eastAsia="Calibri" w:hAnsi="Calibri" w:cs="Calibri"/>
          <w:bCs w:val="0"/>
          <w:i/>
          <w:iCs/>
          <w:kern w:val="0"/>
          <w:sz w:val="24"/>
          <w:szCs w:val="24"/>
          <w:lang w:val="el-GR"/>
          <w14:ligatures w14:val="none"/>
        </w:rPr>
        <w:t xml:space="preserve">, Legal </w:t>
      </w:r>
      <w:proofErr w:type="spellStart"/>
      <w:r w:rsidRPr="007A7BC6">
        <w:rPr>
          <w:rFonts w:ascii="Calibri" w:eastAsia="Calibri" w:hAnsi="Calibri" w:cs="Calibri"/>
          <w:bCs w:val="0"/>
          <w:i/>
          <w:iCs/>
          <w:kern w:val="0"/>
          <w:sz w:val="24"/>
          <w:szCs w:val="24"/>
          <w:lang w:val="el-GR"/>
          <w14:ligatures w14:val="none"/>
        </w:rPr>
        <w:t>κλπ</w:t>
      </w:r>
      <w:proofErr w:type="spellEnd"/>
      <w:r w:rsidRPr="007A7BC6">
        <w:rPr>
          <w:rFonts w:ascii="Calibri" w:eastAsia="Calibri" w:hAnsi="Calibri" w:cs="Calibri"/>
          <w:bCs w:val="0"/>
          <w:i/>
          <w:iCs/>
          <w:kern w:val="0"/>
          <w:sz w:val="24"/>
          <w:szCs w:val="24"/>
          <w:lang w:val="el-GR"/>
          <w14:ligatures w14:val="none"/>
        </w:rPr>
        <w:t xml:space="preserve">), καθώς και το κόστος οργάνωσης των γραφείων της διοίκησης, κόστη τα οποία δεν </w:t>
      </w:r>
      <w:proofErr w:type="spellStart"/>
      <w:r w:rsidRPr="007A7BC6">
        <w:rPr>
          <w:rFonts w:ascii="Calibri" w:eastAsia="Calibri" w:hAnsi="Calibri" w:cs="Calibri"/>
          <w:bCs w:val="0"/>
          <w:i/>
          <w:iCs/>
          <w:kern w:val="0"/>
          <w:sz w:val="24"/>
          <w:szCs w:val="24"/>
          <w:lang w:val="el-GR"/>
          <w14:ligatures w14:val="none"/>
        </w:rPr>
        <w:t>μοντελοποιούνται</w:t>
      </w:r>
      <w:proofErr w:type="spellEnd"/>
      <w:r w:rsidRPr="007A7BC6">
        <w:rPr>
          <w:rFonts w:ascii="Calibri" w:eastAsia="Calibri" w:hAnsi="Calibri" w:cs="Calibri"/>
          <w:bCs w:val="0"/>
          <w:i/>
          <w:iCs/>
          <w:kern w:val="0"/>
          <w:sz w:val="24"/>
          <w:szCs w:val="24"/>
          <w:lang w:val="el-GR"/>
          <w14:ligatures w14:val="none"/>
        </w:rPr>
        <w:t xml:space="preserve"> σε κανένα άλλο σημείο του μοντέλου.</w:t>
      </w:r>
      <w:r w:rsidRPr="007A7BC6">
        <w:rPr>
          <w:rFonts w:ascii="Calibri" w:eastAsia="Calibri" w:hAnsi="Calibri" w:cs="Calibri"/>
          <w:bCs w:val="0"/>
          <w:kern w:val="0"/>
          <w:sz w:val="24"/>
          <w:szCs w:val="24"/>
          <w:lang w:val="el-GR"/>
          <w14:ligatures w14:val="none"/>
        </w:rPr>
        <w:t>»</w:t>
      </w:r>
      <w:r w:rsidRPr="007A7BC6">
        <w:rPr>
          <w:rFonts w:ascii="Calibri" w:eastAsia="Calibri" w:hAnsi="Calibri" w:cs="Calibri"/>
          <w:bCs w:val="0"/>
          <w:kern w:val="0"/>
          <w:sz w:val="24"/>
          <w:szCs w:val="24"/>
          <w:vertAlign w:val="superscript"/>
          <w:lang w:val="el-GR"/>
          <w14:ligatures w14:val="none"/>
        </w:rPr>
        <w:footnoteReference w:id="2"/>
      </w:r>
      <w:r w:rsidRPr="007A7BC6">
        <w:rPr>
          <w:rFonts w:ascii="Calibri" w:eastAsia="Calibri" w:hAnsi="Calibri" w:cs="Calibri"/>
          <w:bCs w:val="0"/>
          <w:kern w:val="0"/>
          <w:sz w:val="24"/>
          <w:szCs w:val="24"/>
          <w:lang w:val="el-GR"/>
          <w14:ligatures w14:val="none"/>
        </w:rPr>
        <w:t xml:space="preserve">. </w:t>
      </w:r>
    </w:p>
    <w:p w14:paraId="33323E3E" w14:textId="7111624E" w:rsidR="00B41C9C" w:rsidRPr="00073E36" w:rsidRDefault="00B41C9C" w:rsidP="007A7BC6">
      <w:pPr>
        <w:widowControl w:val="0"/>
        <w:autoSpaceDE w:val="0"/>
        <w:autoSpaceDN w:val="0"/>
        <w:spacing w:after="240" w:line="360" w:lineRule="atLeast"/>
        <w:ind w:left="0" w:right="0"/>
        <w:jc w:val="both"/>
        <w:rPr>
          <w:rFonts w:ascii="Calibri" w:eastAsia="Calibri" w:hAnsi="Calibri" w:cs="Calibri"/>
          <w:bCs w:val="0"/>
          <w:kern w:val="0"/>
          <w:sz w:val="24"/>
          <w:szCs w:val="24"/>
          <w14:ligatures w14:val="none"/>
        </w:rPr>
      </w:pPr>
      <w:r>
        <w:rPr>
          <w:rFonts w:ascii="Calibri" w:eastAsia="Calibri" w:hAnsi="Calibri" w:cs="Calibri"/>
          <w:bCs w:val="0"/>
          <w:kern w:val="0"/>
          <w:sz w:val="24"/>
          <w:szCs w:val="24"/>
          <w14:ligatures w14:val="none"/>
        </w:rPr>
        <w:sym w:font="Wingdings" w:char="F022"/>
      </w:r>
    </w:p>
    <w:p w14:paraId="458C9AF1"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Εκτιμούμε ότι το </w:t>
      </w:r>
      <w:r w:rsidRPr="007A7BC6">
        <w:rPr>
          <w:rFonts w:ascii="Calibri" w:eastAsia="Calibri" w:hAnsi="Calibri" w:cs="Calibri"/>
          <w:bCs w:val="0"/>
          <w:kern w:val="0"/>
          <w:sz w:val="24"/>
          <w:szCs w:val="24"/>
          <w14:ligatures w14:val="none"/>
        </w:rPr>
        <w:t>benchmark</w:t>
      </w:r>
      <w:r w:rsidRPr="007A7BC6">
        <w:rPr>
          <w:rFonts w:ascii="Calibri" w:eastAsia="Calibri" w:hAnsi="Calibri" w:cs="Calibri"/>
          <w:bCs w:val="0"/>
          <w:kern w:val="0"/>
          <w:sz w:val="24"/>
          <w:szCs w:val="24"/>
          <w:lang w:val="el-GR"/>
          <w14:ligatures w14:val="none"/>
        </w:rPr>
        <w:t xml:space="preserve"> στο οποίο αναφέρεται η ΕΕΤΤ δεν περιλαμβάνει τα </w:t>
      </w:r>
      <w:r w:rsidRPr="007A7BC6">
        <w:rPr>
          <w:rFonts w:ascii="Calibri" w:eastAsia="Calibri" w:hAnsi="Calibri" w:cs="Calibri"/>
          <w:bCs w:val="0"/>
          <w:kern w:val="0"/>
          <w:sz w:val="24"/>
          <w:szCs w:val="24"/>
          <w14:ligatures w14:val="none"/>
        </w:rPr>
        <w:t>Indirect</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Costs</w:t>
      </w:r>
      <w:r w:rsidRPr="007A7BC6">
        <w:rPr>
          <w:rFonts w:ascii="Calibri" w:eastAsia="Calibri" w:hAnsi="Calibri" w:cs="Calibri"/>
          <w:bCs w:val="0"/>
          <w:kern w:val="0"/>
          <w:sz w:val="24"/>
          <w:szCs w:val="24"/>
          <w:lang w:val="el-GR"/>
          <w14:ligatures w14:val="none"/>
        </w:rPr>
        <w:t>. Καθώς η ΕΕΤΤ δεν υπολογίζει χωριστά το ποσοστό των έμμεσων στοιχείων κόστους (</w:t>
      </w:r>
      <w:r w:rsidRPr="007A7BC6">
        <w:rPr>
          <w:rFonts w:ascii="Calibri" w:eastAsia="Calibri" w:hAnsi="Calibri" w:cs="Calibri"/>
          <w:bCs w:val="0"/>
          <w:kern w:val="0"/>
          <w:sz w:val="24"/>
          <w:szCs w:val="24"/>
          <w14:ligatures w14:val="none"/>
        </w:rPr>
        <w:t>indirect</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costs</w:t>
      </w:r>
      <w:r w:rsidRPr="007A7BC6">
        <w:rPr>
          <w:rFonts w:ascii="Calibri" w:eastAsia="Calibri" w:hAnsi="Calibri" w:cs="Calibri"/>
          <w:bCs w:val="0"/>
          <w:kern w:val="0"/>
          <w:sz w:val="24"/>
          <w:szCs w:val="24"/>
          <w:lang w:val="el-GR"/>
          <w14:ligatures w14:val="none"/>
        </w:rPr>
        <w:t>), αλλά και δεν το ενσωματώνει στη βάση του EPMU (</w:t>
      </w:r>
      <w:proofErr w:type="spellStart"/>
      <w:r w:rsidRPr="007A7BC6">
        <w:rPr>
          <w:rFonts w:ascii="Calibri" w:eastAsia="Calibri" w:hAnsi="Calibri" w:cs="Calibri"/>
          <w:bCs w:val="0"/>
          <w:kern w:val="0"/>
          <w:sz w:val="24"/>
          <w:szCs w:val="24"/>
          <w:lang w:val="el-GR"/>
          <w14:ligatures w14:val="none"/>
        </w:rPr>
        <w:t>Equi-Proportional</w:t>
      </w:r>
      <w:proofErr w:type="spellEnd"/>
      <w:r w:rsidRPr="007A7BC6">
        <w:rPr>
          <w:rFonts w:ascii="Calibri" w:eastAsia="Calibri" w:hAnsi="Calibri" w:cs="Calibri"/>
          <w:bCs w:val="0"/>
          <w:kern w:val="0"/>
          <w:sz w:val="24"/>
          <w:szCs w:val="24"/>
          <w:lang w:val="el-GR"/>
          <w14:ligatures w14:val="none"/>
        </w:rPr>
        <w:t xml:space="preserve"> Mark-</w:t>
      </w:r>
      <w:proofErr w:type="spellStart"/>
      <w:r w:rsidRPr="007A7BC6">
        <w:rPr>
          <w:rFonts w:ascii="Calibri" w:eastAsia="Calibri" w:hAnsi="Calibri" w:cs="Calibri"/>
          <w:bCs w:val="0"/>
          <w:kern w:val="0"/>
          <w:sz w:val="24"/>
          <w:szCs w:val="24"/>
          <w:lang w:val="el-GR"/>
          <w14:ligatures w14:val="none"/>
        </w:rPr>
        <w:t>Up</w:t>
      </w:r>
      <w:proofErr w:type="spellEnd"/>
      <w:r w:rsidRPr="007A7BC6">
        <w:rPr>
          <w:rFonts w:ascii="Calibri" w:eastAsia="Calibri" w:hAnsi="Calibri" w:cs="Calibri"/>
          <w:bCs w:val="0"/>
          <w:kern w:val="0"/>
          <w:sz w:val="24"/>
          <w:szCs w:val="24"/>
          <w:lang w:val="el-GR"/>
          <w14:ligatures w14:val="none"/>
        </w:rPr>
        <w:t xml:space="preserve">), στο μοντέλο θα πρέπει να συμπεριλάβει σε χωριστό υπολογισμό τα έμμεσα στοιχεία κόστους. Επιπλέον για λόγους σαφήνειας η ΕΕΤΤ θα πρέπει να επιβεβαιώσει και τα στοιχεία κόστους που περιλαμβάνει σε σύγκριση με το αναφερόμενο </w:t>
      </w:r>
      <w:r w:rsidRPr="007A7BC6">
        <w:rPr>
          <w:rFonts w:ascii="Calibri" w:eastAsia="Calibri" w:hAnsi="Calibri" w:cs="Calibri"/>
          <w:bCs w:val="0"/>
          <w:kern w:val="0"/>
          <w:sz w:val="24"/>
          <w:szCs w:val="24"/>
          <w14:ligatures w14:val="none"/>
        </w:rPr>
        <w:t>benchmark</w:t>
      </w:r>
      <w:r w:rsidRPr="007A7BC6">
        <w:rPr>
          <w:rFonts w:ascii="Calibri" w:eastAsia="Calibri" w:hAnsi="Calibri" w:cs="Calibri"/>
          <w:bCs w:val="0"/>
          <w:kern w:val="0"/>
          <w:sz w:val="24"/>
          <w:szCs w:val="24"/>
          <w:lang w:val="el-GR"/>
          <w14:ligatures w14:val="none"/>
        </w:rPr>
        <w:t xml:space="preserve"> και τη διεθνή βιβλιογραφία.</w:t>
      </w:r>
    </w:p>
    <w:p w14:paraId="3E20F082" w14:textId="1FD8BB45"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Ελλείψει διαφάνειας προτείνεται να χρησιμοποιηθούν τα στοιχεία της Ελληνικής αγοράς και κυρίως του ΟΤΕ που έχει τα μόνα ελεγμένα στοιχεία, όπως αυτά τα υποβάλει στο ΕΚΟΣ και ελέγχονται από ανεξάρτητο ελεγκτή. Συγκεκριμένα τα πλέον πρόσφατα στοιχεία που έχει διαθέσιμα ο ΟΤΕ και η ΕΕΤΤ αφορούν ανάλυση του κόστους της CTS με βάση το απολογιστικό Ε.ΚΟ.Σ 2023, σύμφωνα με τα οποία το κοινό κόστος είναι </w:t>
      </w:r>
      <w:r w:rsidR="00541C0C">
        <w:rPr>
          <w:rFonts w:ascii="Calibri" w:eastAsia="Calibri" w:hAnsi="Calibri" w:cs="Calibri"/>
          <w:bCs w:val="0"/>
          <w:kern w:val="0"/>
          <w:sz w:val="24"/>
          <w:szCs w:val="24"/>
          <w:lang w:val="el-GR"/>
          <w14:ligatures w14:val="none"/>
        </w:rPr>
        <w:sym w:font="Wingdings" w:char="F022"/>
      </w:r>
      <w:r w:rsidR="00CB13BE">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lang w:val="el-GR"/>
          <w14:ligatures w14:val="none"/>
        </w:rPr>
        <w:t xml:space="preserve"> και το έμμεσο κόστος </w:t>
      </w:r>
      <w:r w:rsidR="00541C0C">
        <w:rPr>
          <w:rFonts w:ascii="Calibri" w:eastAsia="Calibri" w:hAnsi="Calibri" w:cs="Calibri"/>
          <w:bCs w:val="0"/>
          <w:kern w:val="0"/>
          <w:sz w:val="24"/>
          <w:szCs w:val="24"/>
          <w:lang w:val="el-GR"/>
          <w14:ligatures w14:val="none"/>
        </w:rPr>
        <w:sym w:font="Wingdings" w:char="F022"/>
      </w:r>
      <w:r w:rsidR="00CB13BE">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lang w:val="el-GR"/>
          <w14:ligatures w14:val="none"/>
        </w:rPr>
        <w:t>.</w:t>
      </w:r>
    </w:p>
    <w:p w14:paraId="10B786B8" w14:textId="77777777" w:rsidR="007A7BC6" w:rsidRPr="007A7BC6" w:rsidRDefault="007A7BC6" w:rsidP="007A7BC6">
      <w:pPr>
        <w:keepNext/>
        <w:keepLines/>
        <w:widowControl w:val="0"/>
        <w:numPr>
          <w:ilvl w:val="1"/>
          <w:numId w:val="0"/>
        </w:numPr>
        <w:autoSpaceDE w:val="0"/>
        <w:autoSpaceDN w:val="0"/>
        <w:spacing w:before="160" w:after="80" w:line="360" w:lineRule="atLeast"/>
        <w:ind w:left="1080" w:right="0" w:hanging="360"/>
        <w:jc w:val="both"/>
        <w:outlineLvl w:val="2"/>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14:ligatures w14:val="none"/>
        </w:rPr>
        <w:lastRenderedPageBreak/>
        <w:t>WACC</w:t>
      </w:r>
    </w:p>
    <w:p w14:paraId="6BB7EC00" w14:textId="411F2D0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Αναφορικά με τον υπολογισμό του WACC στο υπό διαβούλευση κείμενο η Επιτροπή σας έχει επιλέξει να ευθυγραμμιστεί πλήρως με την μεθοδολογία του BEREC. Ωστόσο, θα θέλαμε να επισημάνουμε ότι η Επιτροπή σας έχει πάντοτε την δυνατότητα αιτιολογημένων αποκλίσεων από την μεθοδολογία του BEREC προκειμένου να αποτυπώσει τις «πρόσφατες οικονομικές συνθήκες» όπως αναφέρει και η ίδια μεθοδολογία του BEREC</w:t>
      </w:r>
      <w:r w:rsidRPr="007A7BC6">
        <w:rPr>
          <w:rFonts w:ascii="Calibri" w:eastAsia="Calibri" w:hAnsi="Calibri" w:cs="Calibri"/>
          <w:bCs w:val="0"/>
          <w:kern w:val="0"/>
          <w:sz w:val="24"/>
          <w:szCs w:val="24"/>
          <w:vertAlign w:val="superscript"/>
          <w:lang w:val="el-GR"/>
          <w14:ligatures w14:val="none"/>
        </w:rPr>
        <w:footnoteReference w:id="3"/>
      </w:r>
      <w:r w:rsidRPr="007A7BC6">
        <w:rPr>
          <w:rFonts w:ascii="Calibri" w:eastAsia="Calibri" w:hAnsi="Calibri" w:cs="Calibri"/>
          <w:bCs w:val="0"/>
          <w:kern w:val="0"/>
          <w:sz w:val="24"/>
          <w:szCs w:val="24"/>
          <w:lang w:val="el-GR"/>
          <w14:ligatures w14:val="none"/>
        </w:rPr>
        <w:t>. Ο ΟΤΕ έχει επανειλημμένως τοποθετηθεί ότι η κατά γράμμα εφαρμογή της μεθοδολογίας του BEREC για το WACC δεν αποτυπώνει την εύλογη απόδοση που αναμένει η επενδυτική κοινότητα για επενδύσεις στον κλάδο τηλεπικοινωνιών στην Ελλάδα που κυμαίνεται σε επίπεδα άνω του 9%</w:t>
      </w:r>
      <w:r w:rsidR="00CC4FBC" w:rsidRPr="00CC4FBC">
        <w:rPr>
          <w:rFonts w:ascii="Calibri" w:eastAsia="Calibri" w:hAnsi="Calibri" w:cs="Calibri"/>
          <w:bCs w:val="0"/>
          <w:kern w:val="0"/>
          <w:sz w:val="24"/>
          <w:szCs w:val="24"/>
          <w:lang w:val="el-GR"/>
          <w14:ligatures w14:val="none"/>
        </w:rPr>
        <w:t>,</w:t>
      </w:r>
      <w:r w:rsidR="00B41C9C" w:rsidRPr="00073E36">
        <w:rPr>
          <w:rFonts w:ascii="Calibri" w:eastAsia="Calibri" w:hAnsi="Calibri" w:cs="Calibri"/>
          <w:bCs w:val="0"/>
          <w:kern w:val="0"/>
          <w:sz w:val="24"/>
          <w:szCs w:val="24"/>
          <w:lang w:val="el-GR"/>
          <w14:ligatures w14:val="none"/>
        </w:rPr>
        <w:t xml:space="preserve"> </w:t>
      </w:r>
      <w:r w:rsidR="00B41C9C">
        <w:rPr>
          <w:rFonts w:ascii="Calibri" w:eastAsia="Calibri" w:hAnsi="Calibri" w:cs="Calibri"/>
          <w:bCs w:val="0"/>
          <w:kern w:val="0"/>
          <w:sz w:val="24"/>
          <w:szCs w:val="24"/>
          <w:lang w:val="el-GR"/>
          <w14:ligatures w14:val="none"/>
        </w:rPr>
        <w:sym w:font="Wingdings" w:char="F022"/>
      </w:r>
      <w:r w:rsidRPr="007A7BC6">
        <w:rPr>
          <w:rFonts w:ascii="Calibri" w:eastAsia="Calibri" w:hAnsi="Calibri" w:cs="Calibri"/>
          <w:bCs w:val="0"/>
          <w:kern w:val="0"/>
          <w:sz w:val="24"/>
          <w:szCs w:val="24"/>
          <w:lang w:val="el-GR"/>
          <w14:ligatures w14:val="none"/>
        </w:rPr>
        <w:t xml:space="preserve">. Υπενθυμίζουμε ότι για μία εταιρεία επενδύσεις που αποφέρουν απόδοση χαμηλότερη από το WACC θεωρούνται μη προσοδοφόρες και δεν χρηματοδοτούνται από τους επενδυτές. </w:t>
      </w:r>
    </w:p>
    <w:p w14:paraId="09E5ADD2" w14:textId="7C231BDD"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Ειδικότερα το χρησιμοποιούμενο </w:t>
      </w:r>
      <w:r w:rsidRPr="007A7BC6">
        <w:rPr>
          <w:rFonts w:ascii="Calibri" w:eastAsia="Calibri" w:hAnsi="Calibri" w:cs="Calibri"/>
          <w:bCs w:val="0"/>
          <w:kern w:val="0"/>
          <w:sz w:val="24"/>
          <w:szCs w:val="24"/>
          <w14:ligatures w14:val="none"/>
        </w:rPr>
        <w:t>RFR</w:t>
      </w:r>
      <w:r w:rsidRPr="007A7BC6">
        <w:rPr>
          <w:rFonts w:ascii="Calibri" w:eastAsia="Calibri" w:hAnsi="Calibri" w:cs="Calibri"/>
          <w:bCs w:val="0"/>
          <w:kern w:val="0"/>
          <w:sz w:val="24"/>
          <w:szCs w:val="24"/>
          <w:lang w:val="el-GR"/>
          <w14:ligatures w14:val="none"/>
        </w:rPr>
        <w:t xml:space="preserve"> είναι σημαντικά </w:t>
      </w:r>
      <w:proofErr w:type="spellStart"/>
      <w:r w:rsidRPr="007A7BC6">
        <w:rPr>
          <w:rFonts w:ascii="Calibri" w:eastAsia="Calibri" w:hAnsi="Calibri" w:cs="Calibri"/>
          <w:bCs w:val="0"/>
          <w:kern w:val="0"/>
          <w:sz w:val="24"/>
          <w:szCs w:val="24"/>
          <w:lang w:val="el-GR"/>
          <w14:ligatures w14:val="none"/>
        </w:rPr>
        <w:t>υπο</w:t>
      </w:r>
      <w:proofErr w:type="spellEnd"/>
      <w:r w:rsidRPr="007A7BC6">
        <w:rPr>
          <w:rFonts w:ascii="Calibri" w:eastAsia="Calibri" w:hAnsi="Calibri" w:cs="Calibri"/>
          <w:bCs w:val="0"/>
          <w:kern w:val="0"/>
          <w:sz w:val="24"/>
          <w:szCs w:val="24"/>
          <w:lang w:val="el-GR"/>
          <w14:ligatures w14:val="none"/>
        </w:rPr>
        <w:t xml:space="preserve">-εκτιμημένο και δεν αντανακλά τις πραγματικές </w:t>
      </w:r>
      <w:proofErr w:type="spellStart"/>
      <w:r w:rsidRPr="007A7BC6">
        <w:rPr>
          <w:rFonts w:ascii="Calibri" w:eastAsia="Calibri" w:hAnsi="Calibri" w:cs="Calibri"/>
          <w:bCs w:val="0"/>
          <w:kern w:val="0"/>
          <w:sz w:val="24"/>
          <w:szCs w:val="24"/>
          <w:lang w:val="el-GR"/>
          <w14:ligatures w14:val="none"/>
        </w:rPr>
        <w:t>μακρο</w:t>
      </w:r>
      <w:proofErr w:type="spellEnd"/>
      <w:r w:rsidRPr="007A7BC6">
        <w:rPr>
          <w:rFonts w:ascii="Calibri" w:eastAsia="Calibri" w:hAnsi="Calibri" w:cs="Calibri"/>
          <w:bCs w:val="0"/>
          <w:kern w:val="0"/>
          <w:sz w:val="24"/>
          <w:szCs w:val="24"/>
          <w:lang w:val="el-GR"/>
          <w14:ligatures w14:val="none"/>
        </w:rPr>
        <w:t xml:space="preserve">-οικονομικές συνθήκες της χώρας σήμερα. Το </w:t>
      </w:r>
      <w:r w:rsidRPr="007A7BC6">
        <w:rPr>
          <w:rFonts w:ascii="Calibri" w:eastAsia="Calibri" w:hAnsi="Calibri" w:cs="Calibri"/>
          <w:bCs w:val="0"/>
          <w:kern w:val="0"/>
          <w:sz w:val="24"/>
          <w:szCs w:val="24"/>
          <w14:ligatures w14:val="none"/>
        </w:rPr>
        <w:t>RFR</w:t>
      </w:r>
      <w:r w:rsidRPr="007A7BC6">
        <w:rPr>
          <w:rFonts w:ascii="Calibri" w:eastAsia="Calibri" w:hAnsi="Calibri" w:cs="Calibri"/>
          <w:bCs w:val="0"/>
          <w:kern w:val="0"/>
          <w:sz w:val="24"/>
          <w:szCs w:val="24"/>
          <w:lang w:val="el-GR"/>
          <w14:ligatures w14:val="none"/>
        </w:rPr>
        <w:t xml:space="preserve"> της Ελλάδος εκτιμάται ως 2,70% βάσει του πλέον προσφάτου </w:t>
      </w:r>
      <w:r w:rsidRPr="007A7BC6">
        <w:rPr>
          <w:rFonts w:ascii="Calibri" w:eastAsia="Calibri" w:hAnsi="Calibri" w:cs="Calibri"/>
          <w:bCs w:val="0"/>
          <w:kern w:val="0"/>
          <w:sz w:val="24"/>
          <w:szCs w:val="24"/>
          <w14:ligatures w14:val="none"/>
        </w:rPr>
        <w:t>BEREC</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report</w:t>
      </w:r>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14:ligatures w14:val="none"/>
        </w:rPr>
        <w:t>BoR</w:t>
      </w:r>
      <w:proofErr w:type="spellEnd"/>
      <w:r w:rsidRPr="007A7BC6">
        <w:rPr>
          <w:rFonts w:ascii="Calibri" w:eastAsia="Calibri" w:hAnsi="Calibri" w:cs="Calibri"/>
          <w:bCs w:val="0"/>
          <w:kern w:val="0"/>
          <w:sz w:val="24"/>
          <w:szCs w:val="24"/>
          <w:lang w:val="el-GR"/>
          <w14:ligatures w14:val="none"/>
        </w:rPr>
        <w:t xml:space="preserve"> (25). Από την άλλη, ο πληθωρισμός της χώρας σύμφωνα με τα πλέον πρόσφατα επίσημα στοιχεία της ΕΛΣΤΑΤ της 31/08 είναι 2,9%, ενώ αξίζει να σημειωθεί ότι η Τράπεζα της Ελλάδος σε πρόσφατο </w:t>
      </w:r>
      <w:proofErr w:type="spellStart"/>
      <w:r w:rsidRPr="007A7BC6">
        <w:rPr>
          <w:rFonts w:ascii="Calibri" w:eastAsia="Calibri" w:hAnsi="Calibri" w:cs="Calibri"/>
          <w:bCs w:val="0"/>
          <w:kern w:val="0"/>
          <w:sz w:val="24"/>
          <w:szCs w:val="24"/>
          <w:lang w:val="el-GR"/>
          <w14:ligatures w14:val="none"/>
        </w:rPr>
        <w:t>report</w:t>
      </w:r>
      <w:proofErr w:type="spellEnd"/>
      <w:r w:rsidRPr="007A7BC6">
        <w:rPr>
          <w:rFonts w:ascii="Calibri" w:eastAsia="Calibri" w:hAnsi="Calibri" w:cs="Calibri"/>
          <w:bCs w:val="0"/>
          <w:kern w:val="0"/>
          <w:sz w:val="24"/>
          <w:szCs w:val="24"/>
          <w:lang w:val="el-GR"/>
          <w14:ligatures w14:val="none"/>
        </w:rPr>
        <w:t xml:space="preserve"> της εκτιμά ότι ο πληθωρισμός θα ακολουθήσει περαιτέρω ανοδική τάση εντός του 2025 και στις 31/12/2025 θα είναι 3,1%</w:t>
      </w:r>
      <w:r w:rsidRPr="007A7BC6">
        <w:rPr>
          <w:rFonts w:ascii="Calibri" w:eastAsia="Calibri" w:hAnsi="Calibri" w:cs="Calibri"/>
          <w:bCs w:val="0"/>
          <w:kern w:val="0"/>
          <w:sz w:val="24"/>
          <w:szCs w:val="24"/>
          <w:vertAlign w:val="superscript"/>
          <w:lang w:val="el-GR"/>
          <w14:ligatures w14:val="none"/>
        </w:rPr>
        <w:footnoteReference w:id="4"/>
      </w:r>
      <w:r w:rsidRPr="007A7BC6">
        <w:rPr>
          <w:rFonts w:ascii="Calibri" w:eastAsia="Calibri" w:hAnsi="Calibri" w:cs="Calibri"/>
          <w:bCs w:val="0"/>
          <w:kern w:val="0"/>
          <w:sz w:val="24"/>
          <w:szCs w:val="24"/>
          <w:lang w:val="el-GR"/>
          <w14:ligatures w14:val="none"/>
        </w:rPr>
        <w:t>. Επίσης, σύμφωνα με τα πλέον πρόσφατα στοιχεία του 2025 η απόδοση του δεκαετούς κρατικού ομολόγου εκτιμάται σήμερα ως 3,37%.</w:t>
      </w:r>
    </w:p>
    <w:p w14:paraId="4B4A0178"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Επισημαίνουμε ότι αρκετές ΕΡΑ προχώρησαν σε περιορισμένες και τεκμηριωμένες αποκλίσεις από τη μεθοδολογία του </w:t>
      </w:r>
      <w:r w:rsidRPr="007A7BC6">
        <w:rPr>
          <w:rFonts w:ascii="Calibri" w:eastAsia="Calibri" w:hAnsi="Calibri" w:cs="Calibri"/>
          <w:bCs w:val="0"/>
          <w:kern w:val="0"/>
          <w:sz w:val="24"/>
          <w:szCs w:val="24"/>
          <w14:ligatures w14:val="none"/>
        </w:rPr>
        <w:t>BEREC</w:t>
      </w:r>
      <w:r w:rsidRPr="007A7BC6">
        <w:rPr>
          <w:rFonts w:ascii="Calibri" w:eastAsia="Calibri" w:hAnsi="Calibri" w:cs="Calibri"/>
          <w:bCs w:val="0"/>
          <w:kern w:val="0"/>
          <w:sz w:val="24"/>
          <w:szCs w:val="24"/>
          <w:lang w:val="el-GR"/>
          <w14:ligatures w14:val="none"/>
        </w:rPr>
        <w:t xml:space="preserve">, προκειμένου να αποτυπώσουν τις πλέον </w:t>
      </w:r>
      <w:proofErr w:type="spellStart"/>
      <w:r w:rsidRPr="007A7BC6">
        <w:rPr>
          <w:rFonts w:ascii="Calibri" w:eastAsia="Calibri" w:hAnsi="Calibri" w:cs="Calibri"/>
          <w:bCs w:val="0"/>
          <w:kern w:val="0"/>
          <w:sz w:val="24"/>
          <w:szCs w:val="24"/>
          <w:lang w:val="el-GR"/>
          <w14:ligatures w14:val="none"/>
        </w:rPr>
        <w:t>επικαιροποιημένες</w:t>
      </w:r>
      <w:proofErr w:type="spellEnd"/>
      <w:r w:rsidRPr="007A7BC6">
        <w:rPr>
          <w:rFonts w:ascii="Calibri" w:eastAsia="Calibri" w:hAnsi="Calibri" w:cs="Calibri"/>
          <w:bCs w:val="0"/>
          <w:kern w:val="0"/>
          <w:sz w:val="24"/>
          <w:szCs w:val="24"/>
          <w:lang w:val="el-GR"/>
          <w14:ligatures w14:val="none"/>
        </w:rPr>
        <w:t xml:space="preserve"> οικονομικές συνθήκες, όπως άλλωστε προβλέπει και η σχετική ανακοίνωση της Ευρωπαϊκής Επιτροπής. Οι αποκλίσεις αυτές κρίθηκαν επιτρεπτές στο πλαίσιο του ισχύοντος κανονιστικού πλαισίου, και η Επιτροπή δεν προέβη σε αναστολή των αντίστοιχων σχεδίων μέτρων (π.χ. </w:t>
      </w:r>
      <w:r w:rsidRPr="007A7BC6">
        <w:rPr>
          <w:rFonts w:ascii="Calibri" w:eastAsia="Calibri" w:hAnsi="Calibri" w:cs="Calibri"/>
          <w:bCs w:val="0"/>
          <w:kern w:val="0"/>
          <w:sz w:val="24"/>
          <w:szCs w:val="24"/>
          <w14:ligatures w14:val="none"/>
        </w:rPr>
        <w:t>ES</w:t>
      </w:r>
      <w:r w:rsidRPr="007A7BC6">
        <w:rPr>
          <w:rFonts w:ascii="Calibri" w:eastAsia="Calibri" w:hAnsi="Calibri" w:cs="Calibri"/>
          <w:bCs w:val="0"/>
          <w:kern w:val="0"/>
          <w:sz w:val="24"/>
          <w:szCs w:val="24"/>
          <w:lang w:val="el-GR"/>
          <w14:ligatures w14:val="none"/>
        </w:rPr>
        <w:t xml:space="preserve">/2022/2419, </w:t>
      </w:r>
      <w:r w:rsidRPr="007A7BC6">
        <w:rPr>
          <w:rFonts w:ascii="Calibri" w:eastAsia="Calibri" w:hAnsi="Calibri" w:cs="Calibri"/>
          <w:bCs w:val="0"/>
          <w:kern w:val="0"/>
          <w:sz w:val="24"/>
          <w:szCs w:val="24"/>
          <w14:ligatures w14:val="none"/>
        </w:rPr>
        <w:t>FR</w:t>
      </w:r>
      <w:r w:rsidRPr="007A7BC6">
        <w:rPr>
          <w:rFonts w:ascii="Calibri" w:eastAsia="Calibri" w:hAnsi="Calibri" w:cs="Calibri"/>
          <w:bCs w:val="0"/>
          <w:kern w:val="0"/>
          <w:sz w:val="24"/>
          <w:szCs w:val="24"/>
          <w:lang w:val="el-GR"/>
          <w14:ligatures w14:val="none"/>
        </w:rPr>
        <w:t xml:space="preserve">/2023/2455). Ενδεικτικά, στην υπόθεση </w:t>
      </w:r>
      <w:r w:rsidRPr="007A7BC6">
        <w:rPr>
          <w:rFonts w:ascii="Calibri" w:eastAsia="Calibri" w:hAnsi="Calibri" w:cs="Calibri"/>
          <w:bCs w:val="0"/>
          <w:kern w:val="0"/>
          <w:sz w:val="24"/>
          <w:szCs w:val="24"/>
          <w14:ligatures w14:val="none"/>
        </w:rPr>
        <w:t>DE</w:t>
      </w:r>
      <w:r w:rsidRPr="007A7BC6">
        <w:rPr>
          <w:rFonts w:ascii="Calibri" w:eastAsia="Calibri" w:hAnsi="Calibri" w:cs="Calibri"/>
          <w:bCs w:val="0"/>
          <w:kern w:val="0"/>
          <w:sz w:val="24"/>
          <w:szCs w:val="24"/>
          <w:lang w:val="el-GR"/>
          <w14:ligatures w14:val="none"/>
        </w:rPr>
        <w:t xml:space="preserve">/2023/2457, η γερμανική ΕΡΑ χρησιμοποίησε ως κριτήριο απόφασης το ύψος του πληθωρισμού, συγκρίνοντας τον πραγματικό </w:t>
      </w:r>
      <w:r w:rsidRPr="007A7BC6">
        <w:rPr>
          <w:rFonts w:ascii="Calibri" w:eastAsia="Calibri" w:hAnsi="Calibri" w:cs="Calibri"/>
          <w:bCs w:val="0"/>
          <w:kern w:val="0"/>
          <w:sz w:val="24"/>
          <w:szCs w:val="24"/>
          <w:lang w:val="el-GR"/>
          <w14:ligatures w14:val="none"/>
        </w:rPr>
        <w:lastRenderedPageBreak/>
        <w:t xml:space="preserve">πληθωρισμό της χώρας με τον πενταετή μέσο όρο του </w:t>
      </w:r>
      <w:r w:rsidRPr="007A7BC6">
        <w:rPr>
          <w:rFonts w:ascii="Calibri" w:eastAsia="Calibri" w:hAnsi="Calibri" w:cs="Calibri"/>
          <w:bCs w:val="0"/>
          <w:kern w:val="0"/>
          <w:sz w:val="24"/>
          <w:szCs w:val="24"/>
          <w14:ligatures w14:val="none"/>
        </w:rPr>
        <w:t>RFR</w:t>
      </w:r>
      <w:r w:rsidRPr="007A7BC6">
        <w:rPr>
          <w:rFonts w:ascii="Calibri" w:eastAsia="Calibri" w:hAnsi="Calibri" w:cs="Calibri"/>
          <w:bCs w:val="0"/>
          <w:kern w:val="0"/>
          <w:sz w:val="24"/>
          <w:szCs w:val="24"/>
          <w:lang w:val="el-GR"/>
          <w14:ligatures w14:val="none"/>
        </w:rPr>
        <w:t xml:space="preserve">, όπως αυτός παρουσιαζόταν στο </w:t>
      </w:r>
      <w:r w:rsidRPr="007A7BC6">
        <w:rPr>
          <w:rFonts w:ascii="Calibri" w:eastAsia="Calibri" w:hAnsi="Calibri" w:cs="Calibri"/>
          <w:bCs w:val="0"/>
          <w:kern w:val="0"/>
          <w:sz w:val="24"/>
          <w:szCs w:val="24"/>
          <w14:ligatures w14:val="none"/>
        </w:rPr>
        <w:t>BEREC</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Report</w:t>
      </w:r>
      <w:r w:rsidRPr="007A7BC6">
        <w:rPr>
          <w:rFonts w:ascii="Calibri" w:eastAsia="Calibri" w:hAnsi="Calibri" w:cs="Calibri"/>
          <w:bCs w:val="0"/>
          <w:kern w:val="0"/>
          <w:sz w:val="24"/>
          <w:szCs w:val="24"/>
          <w:lang w:val="el-GR"/>
          <w14:ligatures w14:val="none"/>
        </w:rPr>
        <w:t xml:space="preserve"> κατά τον χρόνο κοινοποίησης. Επειδή ο υπολογιζόμενος από το </w:t>
      </w:r>
      <w:r w:rsidRPr="007A7BC6">
        <w:rPr>
          <w:rFonts w:ascii="Calibri" w:eastAsia="Calibri" w:hAnsi="Calibri" w:cs="Calibri"/>
          <w:bCs w:val="0"/>
          <w:kern w:val="0"/>
          <w:sz w:val="24"/>
          <w:szCs w:val="24"/>
          <w14:ligatures w14:val="none"/>
        </w:rPr>
        <w:t>BEREC</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RFR</w:t>
      </w:r>
      <w:r w:rsidRPr="007A7BC6">
        <w:rPr>
          <w:rFonts w:ascii="Calibri" w:eastAsia="Calibri" w:hAnsi="Calibri" w:cs="Calibri"/>
          <w:bCs w:val="0"/>
          <w:kern w:val="0"/>
          <w:sz w:val="24"/>
          <w:szCs w:val="24"/>
          <w:lang w:val="el-GR"/>
          <w14:ligatures w14:val="none"/>
        </w:rPr>
        <w:t xml:space="preserve"> ήταν χαμηλότερος από τον πληθωρισμό, η γερμανική ΕΡΑ προχώρησε σε αναπροσαρμογή του </w:t>
      </w:r>
      <w:r w:rsidRPr="007A7BC6">
        <w:rPr>
          <w:rFonts w:ascii="Calibri" w:eastAsia="Calibri" w:hAnsi="Calibri" w:cs="Calibri"/>
          <w:bCs w:val="0"/>
          <w:kern w:val="0"/>
          <w:sz w:val="24"/>
          <w:szCs w:val="24"/>
          <w14:ligatures w14:val="none"/>
        </w:rPr>
        <w:t>RFR</w:t>
      </w:r>
      <w:r w:rsidRPr="007A7BC6">
        <w:rPr>
          <w:rFonts w:ascii="Calibri" w:eastAsia="Calibri" w:hAnsi="Calibri" w:cs="Calibri"/>
          <w:bCs w:val="0"/>
          <w:kern w:val="0"/>
          <w:sz w:val="24"/>
          <w:szCs w:val="24"/>
          <w:lang w:val="el-GR"/>
          <w14:ligatures w14:val="none"/>
        </w:rPr>
        <w:t xml:space="preserve"> βάσει των πιο πρόσφατων οικονομικών δεδομένων.</w:t>
      </w:r>
    </w:p>
    <w:p w14:paraId="71272A90" w14:textId="0ECF488E"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Ο ΟΤΕ προτείνει να χρησιμοποιηθεί για τον υπολογισμό του WACC η μεθοδολογία της ΑΠ ΕΕΤΤ 1107/1/2024 με τη χρήση συντελεστών βαρύτητας. Πιο συγκεκριμένα, να υπολογίζεται το μέσο RFR στο χρονικό διάστημα από τις 31/3/2024 (που είναι η τελευταία ημερομηνία δειγματοληψίας από το BEREC) μέχρι την ημερομηνία της ΑΠ. ΕΕΤΤ. Αυτή μέση τιμή θα συμμετέχει με βαρύτητα 50% στον τελικό υπολογισμό του μέσου RFR. Ο πενταετής M.O. του RFR από το </w:t>
      </w:r>
      <w:proofErr w:type="spellStart"/>
      <w:r w:rsidRPr="007A7BC6">
        <w:rPr>
          <w:rFonts w:ascii="Calibri" w:eastAsia="Calibri" w:hAnsi="Calibri" w:cs="Calibri"/>
          <w:bCs w:val="0"/>
          <w:kern w:val="0"/>
          <w:sz w:val="24"/>
          <w:szCs w:val="24"/>
          <w:lang w:val="el-GR"/>
          <w14:ligatures w14:val="none"/>
        </w:rPr>
        <w:t>report</w:t>
      </w:r>
      <w:proofErr w:type="spellEnd"/>
      <w:r w:rsidRPr="007A7BC6">
        <w:rPr>
          <w:rFonts w:ascii="Calibri" w:eastAsia="Calibri" w:hAnsi="Calibri" w:cs="Calibri"/>
          <w:bCs w:val="0"/>
          <w:kern w:val="0"/>
          <w:sz w:val="24"/>
          <w:szCs w:val="24"/>
          <w:lang w:val="el-GR"/>
          <w14:ligatures w14:val="none"/>
        </w:rPr>
        <w:t xml:space="preserve"> του BEREC θα συμμετέχει με 40%. Το υπόλοιπο 10% της συνεισφοράς θα έρχεται από μία μεγαλύτερη χρονική περίοδο όπως προδιαγράφουν η ΑΠ ΕΕΤΤ 1107/1/2024 ώστε να εξασφαλίζεται καλύτερο δείγμα ομαλών συνθηκών της αγοράς όσον αφορά το δεκαετές κρατικό ομόλογο (λόγω των πολλών ετών κατά τα οποία το ελληνικό κράτος δεν μπορούσε να προβεί σε ελεύθερη έκδοση κρατικών ομολόγων λόγω των δυσχερών </w:t>
      </w:r>
      <w:proofErr w:type="spellStart"/>
      <w:r w:rsidRPr="007A7BC6">
        <w:rPr>
          <w:rFonts w:ascii="Calibri" w:eastAsia="Calibri" w:hAnsi="Calibri" w:cs="Calibri"/>
          <w:bCs w:val="0"/>
          <w:kern w:val="0"/>
          <w:sz w:val="24"/>
          <w:szCs w:val="24"/>
          <w:lang w:val="el-GR"/>
          <w14:ligatures w14:val="none"/>
        </w:rPr>
        <w:t>μακρο</w:t>
      </w:r>
      <w:proofErr w:type="spellEnd"/>
      <w:r w:rsidRPr="007A7BC6">
        <w:rPr>
          <w:rFonts w:ascii="Calibri" w:eastAsia="Calibri" w:hAnsi="Calibri" w:cs="Calibri"/>
          <w:bCs w:val="0"/>
          <w:kern w:val="0"/>
          <w:sz w:val="24"/>
          <w:szCs w:val="24"/>
          <w:lang w:val="el-GR"/>
          <w14:ligatures w14:val="none"/>
        </w:rPr>
        <w:t xml:space="preserve">-οικονομικών συνθηκών της χώρας). Με βάση την προτεινόμενη μεθοδολογία το ρυθμιζόμενο WACC </w:t>
      </w:r>
      <w:r w:rsidR="00B41C9C">
        <w:rPr>
          <w:rFonts w:ascii="Calibri" w:eastAsia="Calibri" w:hAnsi="Calibri" w:cs="Calibri"/>
          <w:bCs w:val="0"/>
          <w:kern w:val="0"/>
          <w:sz w:val="24"/>
          <w:szCs w:val="24"/>
          <w:lang w:val="el-GR"/>
          <w14:ligatures w14:val="none"/>
        </w:rPr>
        <w:sym w:font="Wingdings" w:char="F022"/>
      </w:r>
      <w:r w:rsidRPr="00CC4FBC">
        <w:rPr>
          <w:rFonts w:ascii="Calibri" w:eastAsia="Calibri" w:hAnsi="Calibri" w:cs="Calibri"/>
          <w:bCs w:val="0"/>
          <w:kern w:val="0"/>
          <w:sz w:val="24"/>
          <w:szCs w:val="24"/>
          <w:lang w:val="el-GR"/>
          <w14:ligatures w14:val="none"/>
        </w:rPr>
        <w:t>.</w:t>
      </w:r>
    </w:p>
    <w:p w14:paraId="0698CB94" w14:textId="3A51D11C"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Αναφορικά με το </w:t>
      </w:r>
      <w:r w:rsidRPr="007A7BC6">
        <w:rPr>
          <w:rFonts w:ascii="Calibri" w:eastAsia="Calibri" w:hAnsi="Calibri" w:cs="Calibri"/>
          <w:bCs w:val="0"/>
          <w:kern w:val="0"/>
          <w:sz w:val="24"/>
          <w:szCs w:val="24"/>
          <w:lang w:val="en-AU"/>
          <w14:ligatures w14:val="none"/>
        </w:rPr>
        <w:t>risk</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lang w:val="en-AU"/>
          <w14:ligatures w14:val="none"/>
        </w:rPr>
        <w:t>premium</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o</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OTE</w:t>
      </w:r>
      <w:r w:rsidRPr="007A7BC6">
        <w:rPr>
          <w:rFonts w:ascii="Calibri" w:eastAsia="Calibri" w:hAnsi="Calibri" w:cs="Calibri"/>
          <w:bCs w:val="0"/>
          <w:kern w:val="0"/>
          <w:sz w:val="24"/>
          <w:szCs w:val="24"/>
          <w:lang w:val="el-GR"/>
          <w14:ligatures w14:val="none"/>
        </w:rPr>
        <w:t xml:space="preserve"> θα ήθελε να επισημάνει ότι σύμφωνα με τα στοιχεία της </w:t>
      </w:r>
      <w:r w:rsidRPr="007A7BC6">
        <w:rPr>
          <w:rFonts w:ascii="Calibri" w:eastAsia="Calibri" w:hAnsi="Calibri" w:cs="Calibri"/>
          <w:bCs w:val="0"/>
          <w:kern w:val="0"/>
          <w:sz w:val="24"/>
          <w:szCs w:val="24"/>
          <w14:ligatures w14:val="none"/>
        </w:rPr>
        <w:t>Cullen</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International</w:t>
      </w:r>
      <w:r w:rsidRPr="007A7BC6">
        <w:rPr>
          <w:rFonts w:ascii="Calibri" w:eastAsia="Calibri" w:hAnsi="Calibri" w:cs="Calibri"/>
          <w:bCs w:val="0"/>
          <w:kern w:val="0"/>
          <w:sz w:val="24"/>
          <w:szCs w:val="24"/>
          <w:lang w:val="el-GR"/>
          <w14:ligatures w14:val="none"/>
        </w:rPr>
        <w:t xml:space="preserve"> οι χώρες της ΕΕ που έχουν χρησιμοποιήσει </w:t>
      </w:r>
      <w:r w:rsidRPr="007A7BC6">
        <w:rPr>
          <w:rFonts w:ascii="Calibri" w:eastAsia="Calibri" w:hAnsi="Calibri" w:cs="Calibri"/>
          <w:bCs w:val="0"/>
          <w:kern w:val="0"/>
          <w:sz w:val="24"/>
          <w:szCs w:val="24"/>
          <w14:ligatures w14:val="none"/>
        </w:rPr>
        <w:t>risk</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premium</w:t>
      </w:r>
      <w:r w:rsidRPr="007A7BC6">
        <w:rPr>
          <w:rFonts w:ascii="Calibri" w:eastAsia="Calibri" w:hAnsi="Calibri" w:cs="Calibri"/>
          <w:bCs w:val="0"/>
          <w:kern w:val="0"/>
          <w:sz w:val="24"/>
          <w:szCs w:val="24"/>
          <w:lang w:val="el-GR"/>
          <w14:ligatures w14:val="none"/>
        </w:rPr>
        <w:t xml:space="preserve"> για τον υπολογισμό των υπηρεσιών </w:t>
      </w:r>
      <w:r w:rsidRPr="007A7BC6">
        <w:rPr>
          <w:rFonts w:ascii="Calibri" w:eastAsia="Calibri" w:hAnsi="Calibri" w:cs="Calibri"/>
          <w:bCs w:val="0"/>
          <w:kern w:val="0"/>
          <w:sz w:val="24"/>
          <w:szCs w:val="24"/>
          <w14:ligatures w14:val="none"/>
        </w:rPr>
        <w:t>VHCN</w:t>
      </w:r>
      <w:r w:rsidRPr="007A7BC6">
        <w:rPr>
          <w:rFonts w:ascii="Calibri" w:eastAsia="Calibri" w:hAnsi="Calibri" w:cs="Calibri"/>
          <w:bCs w:val="0"/>
          <w:kern w:val="0"/>
          <w:sz w:val="24"/>
          <w:szCs w:val="24"/>
          <w:lang w:val="el-GR"/>
          <w14:ligatures w14:val="none"/>
        </w:rPr>
        <w:t xml:space="preserve"> είναι το Βέλγιο</w:t>
      </w:r>
      <w:r w:rsidRPr="007A7BC6">
        <w:rPr>
          <w:rFonts w:ascii="Calibri" w:eastAsia="Calibri" w:hAnsi="Calibri" w:cs="Calibri"/>
          <w:bCs w:val="0"/>
          <w:kern w:val="0"/>
          <w:sz w:val="24"/>
          <w:szCs w:val="24"/>
          <w:vertAlign w:val="superscript"/>
          <w:lang w:val="el-GR"/>
          <w14:ligatures w14:val="none"/>
        </w:rPr>
        <w:footnoteReference w:id="5"/>
      </w:r>
      <w:r w:rsidRPr="007A7BC6">
        <w:rPr>
          <w:rFonts w:ascii="Calibri" w:eastAsia="Calibri" w:hAnsi="Calibri" w:cs="Calibri"/>
          <w:bCs w:val="0"/>
          <w:kern w:val="0"/>
          <w:sz w:val="24"/>
          <w:szCs w:val="24"/>
          <w:lang w:val="el-GR"/>
          <w14:ligatures w14:val="none"/>
        </w:rPr>
        <w:t>, η Πολωνία, η Φιλανδία</w:t>
      </w:r>
      <w:r w:rsidRPr="007A7BC6">
        <w:rPr>
          <w:rFonts w:ascii="Calibri" w:eastAsia="Calibri" w:hAnsi="Calibri" w:cs="Calibri"/>
          <w:bCs w:val="0"/>
          <w:kern w:val="0"/>
          <w:sz w:val="24"/>
          <w:szCs w:val="24"/>
          <w:vertAlign w:val="superscript"/>
          <w:lang w:val="el-GR"/>
          <w14:ligatures w14:val="none"/>
        </w:rPr>
        <w:footnoteReference w:id="6"/>
      </w:r>
      <w:r w:rsidRPr="007A7BC6">
        <w:rPr>
          <w:rFonts w:ascii="Calibri" w:eastAsia="Calibri" w:hAnsi="Calibri" w:cs="Calibri"/>
          <w:bCs w:val="0"/>
          <w:kern w:val="0"/>
          <w:sz w:val="24"/>
          <w:szCs w:val="24"/>
          <w:lang w:val="el-GR"/>
          <w14:ligatures w14:val="none"/>
        </w:rPr>
        <w:t xml:space="preserve">, η Τσεχία, η Σλοβενία, η Γερμανία, η Κροατία και η Βουλγαρία. Για τον υπολογισμό του μέσου όρου με βάση τα στοιχεία της </w:t>
      </w:r>
      <w:r w:rsidRPr="007A7BC6">
        <w:rPr>
          <w:rFonts w:ascii="Calibri" w:eastAsia="Calibri" w:hAnsi="Calibri" w:cs="Calibri"/>
          <w:bCs w:val="0"/>
          <w:kern w:val="0"/>
          <w:sz w:val="24"/>
          <w:szCs w:val="24"/>
          <w14:ligatures w14:val="none"/>
        </w:rPr>
        <w:t>Cullen</w:t>
      </w:r>
      <w:r w:rsidRPr="007A7BC6">
        <w:rPr>
          <w:rFonts w:ascii="Calibri" w:eastAsia="Calibri" w:hAnsi="Calibri" w:cs="Calibri"/>
          <w:bCs w:val="0"/>
          <w:kern w:val="0"/>
          <w:sz w:val="24"/>
          <w:szCs w:val="24"/>
          <w:lang w:val="el-GR"/>
          <w14:ligatures w14:val="none"/>
        </w:rPr>
        <w:t xml:space="preserve">, θα πρέπει να εξαιρεθούν οι δύο χώρες Πολωνία και Σλοβενία, οι οποίες έχουν εκτιμήσει το </w:t>
      </w:r>
      <w:r w:rsidRPr="007A7BC6">
        <w:rPr>
          <w:rFonts w:ascii="Calibri" w:eastAsia="Calibri" w:hAnsi="Calibri" w:cs="Calibri"/>
          <w:bCs w:val="0"/>
          <w:kern w:val="0"/>
          <w:sz w:val="24"/>
          <w:szCs w:val="24"/>
          <w14:ligatures w14:val="none"/>
        </w:rPr>
        <w:t>risk</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premium</w:t>
      </w:r>
      <w:r w:rsidRPr="007A7BC6">
        <w:rPr>
          <w:rFonts w:ascii="Calibri" w:eastAsia="Calibri" w:hAnsi="Calibri" w:cs="Calibri"/>
          <w:bCs w:val="0"/>
          <w:kern w:val="0"/>
          <w:sz w:val="24"/>
          <w:szCs w:val="24"/>
          <w:lang w:val="el-GR"/>
          <w14:ligatures w14:val="none"/>
        </w:rPr>
        <w:t xml:space="preserve"> με βάση τον ευρωπαϊκό μέσο όρο, καθώς εάν ληφθούν υπόψη αυτό οδηγήσει σε κυκλικό υπολογισμό και τεχνητή μείωση του αποτελέσματος. </w:t>
      </w:r>
      <w:r w:rsidRPr="007A7BC6">
        <w:rPr>
          <w:rFonts w:ascii="Calibri" w:eastAsia="Calibri" w:hAnsi="Calibri" w:cs="Calibri"/>
          <w:bCs w:val="0"/>
          <w:kern w:val="0"/>
          <w:sz w:val="24"/>
          <w:szCs w:val="24"/>
          <w:lang w:val="en-AU"/>
          <w14:ligatures w14:val="none"/>
        </w:rPr>
        <w:t>O</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updated</w:t>
      </w:r>
      <w:r w:rsidRPr="007A7BC6">
        <w:rPr>
          <w:rFonts w:ascii="Calibri" w:eastAsia="Calibri" w:hAnsi="Calibri" w:cs="Calibri"/>
          <w:bCs w:val="0"/>
          <w:kern w:val="0"/>
          <w:sz w:val="24"/>
          <w:szCs w:val="24"/>
          <w:lang w:val="el-GR"/>
          <w14:ligatures w14:val="none"/>
        </w:rPr>
        <w:t xml:space="preserve"> υπολογισμός του μέσου Ευρωπαϊκού όρου του </w:t>
      </w:r>
      <w:r w:rsidRPr="007A7BC6">
        <w:rPr>
          <w:rFonts w:ascii="Calibri" w:eastAsia="Calibri" w:hAnsi="Calibri" w:cs="Calibri"/>
          <w:bCs w:val="0"/>
          <w:kern w:val="0"/>
          <w:sz w:val="24"/>
          <w:szCs w:val="24"/>
          <w:lang w:val="en-AU"/>
          <w14:ligatures w14:val="none"/>
        </w:rPr>
        <w:t>risk</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lang w:val="en-AU"/>
          <w14:ligatures w14:val="none"/>
        </w:rPr>
        <w:t>premium</w:t>
      </w:r>
      <w:r w:rsidRPr="007A7BC6">
        <w:rPr>
          <w:rFonts w:ascii="Calibri" w:eastAsia="Calibri" w:hAnsi="Calibri" w:cs="Calibri"/>
          <w:bCs w:val="0"/>
          <w:kern w:val="0"/>
          <w:sz w:val="24"/>
          <w:szCs w:val="24"/>
          <w:lang w:val="el-GR"/>
          <w14:ligatures w14:val="none"/>
        </w:rPr>
        <w:t xml:space="preserve"> με βάση της παραπάνω χώρες </w:t>
      </w:r>
      <w:r w:rsidR="00B41C9C">
        <w:rPr>
          <w:rFonts w:ascii="Calibri" w:eastAsia="Calibri" w:hAnsi="Calibri" w:cs="Calibri"/>
          <w:bCs w:val="0"/>
          <w:kern w:val="0"/>
          <w:sz w:val="24"/>
          <w:szCs w:val="24"/>
          <w:lang w:val="el-GR"/>
          <w14:ligatures w14:val="none"/>
        </w:rPr>
        <w:sym w:font="Wingdings" w:char="F022"/>
      </w:r>
      <w:r w:rsidRPr="00B41C9C">
        <w:rPr>
          <w:rFonts w:ascii="Calibri" w:eastAsia="Calibri" w:hAnsi="Calibri" w:cs="Calibri"/>
          <w:bCs w:val="0"/>
          <w:kern w:val="0"/>
          <w:sz w:val="24"/>
          <w:szCs w:val="24"/>
          <w:lang w:val="el-GR"/>
          <w14:ligatures w14:val="none"/>
        </w:rPr>
        <w:t>.</w:t>
      </w:r>
      <w:r w:rsidRPr="007A7BC6">
        <w:rPr>
          <w:rFonts w:ascii="Calibri" w:eastAsia="Calibri" w:hAnsi="Calibri" w:cs="Calibri"/>
          <w:bCs w:val="0"/>
          <w:kern w:val="0"/>
          <w:sz w:val="24"/>
          <w:szCs w:val="24"/>
          <w:lang w:val="el-GR"/>
          <w14:ligatures w14:val="none"/>
        </w:rPr>
        <w:t xml:space="preserve"> Ενδιαφέρον στον υπολογισμό του </w:t>
      </w:r>
      <w:r w:rsidRPr="007A7BC6">
        <w:rPr>
          <w:rFonts w:ascii="Calibri" w:eastAsia="Calibri" w:hAnsi="Calibri" w:cs="Calibri"/>
          <w:bCs w:val="0"/>
          <w:kern w:val="0"/>
          <w:sz w:val="24"/>
          <w:szCs w:val="24"/>
          <w:lang w:val="en-AU"/>
          <w14:ligatures w14:val="none"/>
        </w:rPr>
        <w:t>risk</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lang w:val="en-AU"/>
          <w14:ligatures w14:val="none"/>
        </w:rPr>
        <w:t>premium</w:t>
      </w:r>
      <w:r w:rsidRPr="007A7BC6">
        <w:rPr>
          <w:rFonts w:ascii="Calibri" w:eastAsia="Calibri" w:hAnsi="Calibri" w:cs="Calibri"/>
          <w:bCs w:val="0"/>
          <w:kern w:val="0"/>
          <w:sz w:val="24"/>
          <w:szCs w:val="24"/>
          <w:lang w:val="el-GR"/>
          <w14:ligatures w14:val="none"/>
        </w:rPr>
        <w:t xml:space="preserve"> έχει η περίπτωση της Τσεχίας, όπου η τσεχική ρυθμιστική αρχή τηλεπικοινωνιών CTU, ακολούθησε μεν την ανακοίνωση της Επιτροπής και του BEREC σχετικά με τον υπολογισμό του </w:t>
      </w:r>
      <w:r w:rsidRPr="007A7BC6">
        <w:rPr>
          <w:rFonts w:ascii="Calibri" w:eastAsia="Calibri" w:hAnsi="Calibri" w:cs="Calibri"/>
          <w:bCs w:val="0"/>
          <w:kern w:val="0"/>
          <w:sz w:val="24"/>
          <w:szCs w:val="24"/>
          <w:lang w:val="en-AU"/>
          <w14:ligatures w14:val="none"/>
        </w:rPr>
        <w:t>WACC</w:t>
      </w:r>
      <w:r w:rsidRPr="007A7BC6">
        <w:rPr>
          <w:rFonts w:ascii="Calibri" w:eastAsia="Calibri" w:hAnsi="Calibri" w:cs="Calibri"/>
          <w:bCs w:val="0"/>
          <w:kern w:val="0"/>
          <w:sz w:val="24"/>
          <w:szCs w:val="24"/>
          <w:lang w:val="el-GR"/>
          <w14:ligatures w14:val="none"/>
        </w:rPr>
        <w:t xml:space="preserve"> για τις παραδοσιακές υποδομές, ωστόσο, για τον υπολογισμό του </w:t>
      </w:r>
      <w:r w:rsidRPr="007A7BC6">
        <w:rPr>
          <w:rFonts w:ascii="Calibri" w:eastAsia="Calibri" w:hAnsi="Calibri" w:cs="Calibri"/>
          <w:bCs w:val="0"/>
          <w:kern w:val="0"/>
          <w:sz w:val="24"/>
          <w:szCs w:val="24"/>
          <w:lang w:val="en-AU"/>
          <w14:ligatures w14:val="none"/>
        </w:rPr>
        <w:t>risk</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lang w:val="en-AU"/>
          <w14:ligatures w14:val="none"/>
        </w:rPr>
        <w:t>premium</w:t>
      </w:r>
      <w:r w:rsidRPr="007A7BC6">
        <w:rPr>
          <w:rFonts w:ascii="Calibri" w:eastAsia="Calibri" w:hAnsi="Calibri" w:cs="Calibri"/>
          <w:bCs w:val="0"/>
          <w:kern w:val="0"/>
          <w:sz w:val="24"/>
          <w:szCs w:val="24"/>
          <w:lang w:val="el-GR"/>
          <w14:ligatures w14:val="none"/>
        </w:rPr>
        <w:t xml:space="preserve">, η CTU έλαβε υπόψη την απόδοση των τσεχικών κρατικών ομολόγων την περίοδο 2023-2024, με υψηλότερο επιτόκιο χωρίς κίνδυνο (3,51%) από το επιτόκιο χωρίς κίνδυνο χώρας του </w:t>
      </w:r>
      <w:r w:rsidRPr="007A7BC6">
        <w:rPr>
          <w:rFonts w:ascii="Calibri" w:eastAsia="Calibri" w:hAnsi="Calibri" w:cs="Calibri"/>
          <w:bCs w:val="0"/>
          <w:kern w:val="0"/>
          <w:sz w:val="24"/>
          <w:szCs w:val="24"/>
          <w:lang w:val="el-GR"/>
          <w14:ligatures w14:val="none"/>
        </w:rPr>
        <w:lastRenderedPageBreak/>
        <w:t>BEREC (2,77%).</w:t>
      </w:r>
    </w:p>
    <w:p w14:paraId="2EC6AA95" w14:textId="61463066"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Συμπερασματικά για την Ελλάδα, για τις νέες επενδύσεις σε FTTH είναι πολύ σημαντικό το άθροισμα του WACC και του FTTH </w:t>
      </w:r>
      <w:r w:rsidRPr="007A7BC6">
        <w:rPr>
          <w:rFonts w:ascii="Calibri" w:eastAsia="Calibri" w:hAnsi="Calibri" w:cs="Calibri"/>
          <w:bCs w:val="0"/>
          <w:kern w:val="0"/>
          <w:sz w:val="24"/>
          <w:szCs w:val="24"/>
          <w14:ligatures w14:val="none"/>
        </w:rPr>
        <w:t>r</w:t>
      </w:r>
      <w:proofErr w:type="spellStart"/>
      <w:r w:rsidRPr="007A7BC6">
        <w:rPr>
          <w:rFonts w:ascii="Calibri" w:eastAsia="Calibri" w:hAnsi="Calibri" w:cs="Calibri"/>
          <w:bCs w:val="0"/>
          <w:kern w:val="0"/>
          <w:sz w:val="24"/>
          <w:szCs w:val="24"/>
          <w:lang w:val="el-GR"/>
          <w14:ligatures w14:val="none"/>
        </w:rPr>
        <w:t>isk</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premium</w:t>
      </w:r>
      <w:proofErr w:type="spellEnd"/>
      <w:r w:rsidRPr="007A7BC6">
        <w:rPr>
          <w:rFonts w:ascii="Calibri" w:eastAsia="Calibri" w:hAnsi="Calibri" w:cs="Calibri"/>
          <w:bCs w:val="0"/>
          <w:kern w:val="0"/>
          <w:sz w:val="24"/>
          <w:szCs w:val="24"/>
          <w:lang w:val="el-GR"/>
          <w14:ligatures w14:val="none"/>
        </w:rPr>
        <w:t xml:space="preserve"> να υπολογιστεί σε επίπεδο που να ενθαρρύνει τη δυναμική επένδυση σύμφωνα και με τη Σύσταση, που ανέρχεται στα επίπεδα του 9%. Ορίζοντας το ρυθμιζόμενο WACC</w:t>
      </w:r>
      <w:r w:rsidR="00B41C9C" w:rsidRPr="00073E36">
        <w:rPr>
          <w:rFonts w:ascii="Calibri" w:eastAsia="Calibri" w:hAnsi="Calibri" w:cs="Calibri"/>
          <w:bCs w:val="0"/>
          <w:kern w:val="0"/>
          <w:sz w:val="24"/>
          <w:szCs w:val="24"/>
          <w:lang w:val="el-GR"/>
          <w14:ligatures w14:val="none"/>
        </w:rPr>
        <w:t xml:space="preserve"> </w:t>
      </w:r>
      <w:r w:rsidR="00B41C9C">
        <w:rPr>
          <w:rFonts w:ascii="Calibri" w:eastAsia="Calibri" w:hAnsi="Calibri" w:cs="Calibri"/>
          <w:bCs w:val="0"/>
          <w:kern w:val="0"/>
          <w:sz w:val="24"/>
          <w:szCs w:val="24"/>
          <w:lang w:val="el-GR"/>
          <w14:ligatures w14:val="none"/>
        </w:rPr>
        <w:sym w:font="Wingdings" w:char="F022"/>
      </w:r>
      <w:r w:rsidRPr="00B41C9C">
        <w:rPr>
          <w:rFonts w:ascii="Calibri" w:eastAsia="Calibri" w:hAnsi="Calibri" w:cs="Calibri"/>
          <w:bCs w:val="0"/>
          <w:kern w:val="0"/>
          <w:sz w:val="24"/>
          <w:szCs w:val="24"/>
          <w:lang w:val="el-GR"/>
          <w14:ligatures w14:val="none"/>
        </w:rPr>
        <w:t>,</w:t>
      </w:r>
      <w:r w:rsidRPr="007A7BC6">
        <w:rPr>
          <w:rFonts w:ascii="Calibri" w:eastAsia="Calibri" w:hAnsi="Calibri" w:cs="Calibri"/>
          <w:bCs w:val="0"/>
          <w:kern w:val="0"/>
          <w:sz w:val="24"/>
          <w:szCs w:val="24"/>
          <w:lang w:val="el-GR"/>
          <w14:ligatures w14:val="none"/>
        </w:rPr>
        <w:t xml:space="preserve"> επίπεδο που μπορεί να θεωρηθεί οριακά ικανοποιητικό.</w:t>
      </w:r>
    </w:p>
    <w:p w14:paraId="168AEA5A" w14:textId="77777777" w:rsidR="007A7BC6" w:rsidRPr="007A7BC6" w:rsidRDefault="007A7BC6" w:rsidP="007A7BC6">
      <w:pPr>
        <w:keepNext/>
        <w:keepLines/>
        <w:widowControl w:val="0"/>
        <w:autoSpaceDE w:val="0"/>
        <w:autoSpaceDN w:val="0"/>
        <w:spacing w:before="160" w:after="80" w:line="360" w:lineRule="atLeast"/>
        <w:ind w:left="360" w:right="0" w:hanging="360"/>
        <w:jc w:val="both"/>
        <w:outlineLvl w:val="1"/>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lang w:val="el-GR"/>
          <w14:ligatures w14:val="none"/>
        </w:rPr>
        <w:t>Υλοποιούμενο Σενάριο Δικτύου Χαλκού - Κοστολόγηση Υπηρεσιών Χαλκού:</w:t>
      </w:r>
      <w:r w:rsidRPr="007A7BC6">
        <w:rPr>
          <w:rFonts w:asciiTheme="majorHAnsi" w:eastAsiaTheme="majorEastAsia" w:hAnsiTheme="majorHAnsi" w:cstheme="majorBidi"/>
          <w:b/>
          <w:color w:val="0F4761" w:themeColor="accent1" w:themeShade="BF"/>
          <w:kern w:val="0"/>
          <w:sz w:val="28"/>
          <w:szCs w:val="28"/>
          <w:lang w:val="el-GR"/>
          <w14:ligatures w14:val="none"/>
        </w:rPr>
        <w:t xml:space="preserve"> </w:t>
      </w:r>
    </w:p>
    <w:p w14:paraId="6A4D3876" w14:textId="77777777" w:rsidR="007A7BC6" w:rsidRPr="007A7BC6" w:rsidRDefault="007A7BC6" w:rsidP="007A7BC6">
      <w:pPr>
        <w:keepNext/>
        <w:keepLines/>
        <w:widowControl w:val="0"/>
        <w:numPr>
          <w:ilvl w:val="1"/>
          <w:numId w:val="0"/>
        </w:numPr>
        <w:autoSpaceDE w:val="0"/>
        <w:autoSpaceDN w:val="0"/>
        <w:spacing w:before="160" w:after="80" w:line="360" w:lineRule="atLeast"/>
        <w:ind w:left="1080" w:right="0" w:hanging="360"/>
        <w:jc w:val="both"/>
        <w:outlineLvl w:val="2"/>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14:ligatures w14:val="none"/>
        </w:rPr>
        <w:t>VHCN</w:t>
      </w: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 και </w:t>
      </w:r>
      <w:r w:rsidRPr="007A7BC6">
        <w:rPr>
          <w:rFonts w:asciiTheme="majorHAnsi" w:eastAsiaTheme="majorEastAsia" w:hAnsiTheme="majorHAnsi" w:cstheme="majorBidi"/>
          <w:bCs w:val="0"/>
          <w:color w:val="0F4761" w:themeColor="accent1" w:themeShade="BF"/>
          <w:kern w:val="0"/>
          <w:sz w:val="28"/>
          <w:szCs w:val="28"/>
          <w14:ligatures w14:val="none"/>
        </w:rPr>
        <w:t>non</w:t>
      </w:r>
      <w:r w:rsidRPr="007A7BC6">
        <w:rPr>
          <w:rFonts w:asciiTheme="majorHAnsi" w:eastAsiaTheme="majorEastAsia" w:hAnsiTheme="majorHAnsi" w:cstheme="majorBidi"/>
          <w:bCs w:val="0"/>
          <w:color w:val="0F4761" w:themeColor="accent1" w:themeShade="BF"/>
          <w:kern w:val="0"/>
          <w:sz w:val="28"/>
          <w:szCs w:val="28"/>
          <w:lang w:val="el-GR"/>
          <w14:ligatures w14:val="none"/>
        </w:rPr>
        <w:t>-</w:t>
      </w:r>
      <w:r w:rsidRPr="007A7BC6">
        <w:rPr>
          <w:rFonts w:asciiTheme="majorHAnsi" w:eastAsiaTheme="majorEastAsia" w:hAnsiTheme="majorHAnsi" w:cstheme="majorBidi"/>
          <w:bCs w:val="0"/>
          <w:color w:val="0F4761" w:themeColor="accent1" w:themeShade="BF"/>
          <w:kern w:val="0"/>
          <w:sz w:val="28"/>
          <w:szCs w:val="28"/>
          <w14:ligatures w14:val="none"/>
        </w:rPr>
        <w:t>VHCN</w:t>
      </w:r>
      <w:r w:rsidRPr="007A7BC6" w:rsidDel="00EF5253">
        <w:rPr>
          <w:rFonts w:asciiTheme="majorHAnsi" w:eastAsiaTheme="majorEastAsia" w:hAnsiTheme="majorHAnsi" w:cstheme="majorBidi"/>
          <w:bCs w:val="0"/>
          <w:color w:val="0F4761" w:themeColor="accent1" w:themeShade="BF"/>
          <w:kern w:val="0"/>
          <w:sz w:val="28"/>
          <w:szCs w:val="28"/>
          <w:lang w:val="el-GR"/>
          <w14:ligatures w14:val="none"/>
        </w:rPr>
        <w:t xml:space="preserve"> </w:t>
      </w: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δίκτυα </w:t>
      </w:r>
    </w:p>
    <w:p w14:paraId="2F7C08CB"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Ο ΟΤΕ είχε εκφράσει τις επιφυλάξεις του στην Δημόσια Διαβούλευση επί των αρχών του μοντέλου που είχε διεξάγει η ΕΕΤΤ τον Ιανουάριο του 2025, σχετικά την υλοποίηση δύο σεναρίων VHCN και non-VHCN για τα αντίστοιχα δίκτυα FTTH και Χαλκού/FTTC. Συγκεκριμένα ο ΟΤΕ θεωρεί ότι η υλοποίηση δύο διαφορετικών λύσεων, VHCN και non-VHCN, με διαφορετικά χαρακτηριστικά του αποδοτικού </w:t>
      </w:r>
      <w:proofErr w:type="spellStart"/>
      <w:r w:rsidRPr="007A7BC6">
        <w:rPr>
          <w:rFonts w:ascii="Calibri" w:eastAsia="Calibri" w:hAnsi="Calibri" w:cs="Calibri"/>
          <w:bCs w:val="0"/>
          <w:kern w:val="0"/>
          <w:sz w:val="24"/>
          <w:szCs w:val="24"/>
          <w:lang w:val="el-GR"/>
          <w14:ligatures w14:val="none"/>
        </w:rPr>
        <w:t>παρόχου</w:t>
      </w:r>
      <w:proofErr w:type="spellEnd"/>
      <w:r w:rsidRPr="007A7BC6">
        <w:rPr>
          <w:rFonts w:ascii="Calibri" w:eastAsia="Calibri" w:hAnsi="Calibri" w:cs="Calibri"/>
          <w:bCs w:val="0"/>
          <w:kern w:val="0"/>
          <w:sz w:val="24"/>
          <w:szCs w:val="24"/>
          <w:lang w:val="el-GR"/>
          <w14:ligatures w14:val="none"/>
        </w:rPr>
        <w:t xml:space="preserve"> δεν συνάδει με τη Σύσταση</w:t>
      </w:r>
      <w:r w:rsidRPr="007A7BC6">
        <w:rPr>
          <w:rFonts w:ascii="Calibri" w:eastAsia="Calibri" w:hAnsi="Calibri" w:cs="Calibri"/>
          <w:bCs w:val="0"/>
          <w:kern w:val="0"/>
          <w:sz w:val="24"/>
          <w:szCs w:val="24"/>
          <w:vertAlign w:val="superscript"/>
          <w:lang w:val="el-GR"/>
          <w14:ligatures w14:val="none"/>
        </w:rPr>
        <w:footnoteReference w:id="7"/>
      </w:r>
      <w:r w:rsidRPr="007A7BC6">
        <w:rPr>
          <w:rFonts w:ascii="Calibri" w:eastAsia="Calibri" w:hAnsi="Calibri" w:cs="Calibri"/>
          <w:bCs w:val="0"/>
          <w:kern w:val="0"/>
          <w:sz w:val="24"/>
          <w:szCs w:val="24"/>
          <w:lang w:val="el-GR"/>
          <w14:ligatures w14:val="none"/>
        </w:rPr>
        <w:t xml:space="preserve">. Αντί μιας τέτοιας προσέγγισης, θα πρέπει να υιοθετείται ενιαίο μοντέλο αποδοτικού </w:t>
      </w:r>
      <w:proofErr w:type="spellStart"/>
      <w:r w:rsidRPr="007A7BC6">
        <w:rPr>
          <w:rFonts w:ascii="Calibri" w:eastAsia="Calibri" w:hAnsi="Calibri" w:cs="Calibri"/>
          <w:bCs w:val="0"/>
          <w:kern w:val="0"/>
          <w:sz w:val="24"/>
          <w:szCs w:val="24"/>
          <w:lang w:val="el-GR"/>
          <w14:ligatures w14:val="none"/>
        </w:rPr>
        <w:t>παρόχου</w:t>
      </w:r>
      <w:proofErr w:type="spellEnd"/>
      <w:r w:rsidRPr="007A7BC6">
        <w:rPr>
          <w:rFonts w:ascii="Calibri" w:eastAsia="Calibri" w:hAnsi="Calibri" w:cs="Calibri"/>
          <w:bCs w:val="0"/>
          <w:kern w:val="0"/>
          <w:sz w:val="24"/>
          <w:szCs w:val="24"/>
          <w:lang w:val="el-GR"/>
          <w14:ligatures w14:val="none"/>
        </w:rPr>
        <w:t xml:space="preserve">, το οποίο αντιπροσωπεύει τον </w:t>
      </w:r>
      <w:proofErr w:type="spellStart"/>
      <w:r w:rsidRPr="007A7BC6">
        <w:rPr>
          <w:rFonts w:ascii="Calibri" w:eastAsia="Calibri" w:hAnsi="Calibri" w:cs="Calibri"/>
          <w:bCs w:val="0"/>
          <w:kern w:val="0"/>
          <w:sz w:val="24"/>
          <w:szCs w:val="24"/>
          <w:lang w:val="el-GR"/>
          <w14:ligatures w14:val="none"/>
        </w:rPr>
        <w:t>πάροχο</w:t>
      </w:r>
      <w:proofErr w:type="spellEnd"/>
      <w:r w:rsidRPr="007A7BC6">
        <w:rPr>
          <w:rFonts w:ascii="Calibri" w:eastAsia="Calibri" w:hAnsi="Calibri" w:cs="Calibri"/>
          <w:bCs w:val="0"/>
          <w:kern w:val="0"/>
          <w:sz w:val="24"/>
          <w:szCs w:val="24"/>
          <w:lang w:val="el-GR"/>
          <w14:ligatures w14:val="none"/>
        </w:rPr>
        <w:t xml:space="preserve"> που αναπτύσσει δίκτυο VHCN. Κατά συνέπεια, η κάλυψη θα πρέπει να ταυτίζεται με τη συνολική γεωγραφική κάλυψη που προβλέπεται στην Απόφαση (ΕΕ) 2022/2481, και το συγκεκριμένο μοντέλο να αποτελεί τη βάση για τον υπολογισμό των προϊόντων χαλκού.</w:t>
      </w:r>
    </w:p>
    <w:p w14:paraId="446A2C3D" w14:textId="77777777" w:rsidR="007A7BC6" w:rsidRPr="00073E3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Η Επιτροπή προχώρησε στη </w:t>
      </w:r>
      <w:proofErr w:type="spellStart"/>
      <w:r w:rsidRPr="007A7BC6">
        <w:rPr>
          <w:rFonts w:ascii="Calibri" w:eastAsia="Calibri" w:hAnsi="Calibri" w:cs="Calibri"/>
          <w:bCs w:val="0"/>
          <w:kern w:val="0"/>
          <w:sz w:val="24"/>
          <w:szCs w:val="24"/>
          <w:lang w:val="el-GR"/>
          <w14:ligatures w14:val="none"/>
        </w:rPr>
        <w:t>μοντελοποίηση</w:t>
      </w:r>
      <w:proofErr w:type="spellEnd"/>
      <w:r w:rsidRPr="007A7BC6">
        <w:rPr>
          <w:rFonts w:ascii="Calibri" w:eastAsia="Calibri" w:hAnsi="Calibri" w:cs="Calibri"/>
          <w:bCs w:val="0"/>
          <w:kern w:val="0"/>
          <w:sz w:val="24"/>
          <w:szCs w:val="24"/>
          <w:lang w:val="el-GR"/>
          <w14:ligatures w14:val="none"/>
        </w:rPr>
        <w:t xml:space="preserve"> δύο παράλληλων δικτύων, χαλκού και FTTH, θεωρώντας την προσέγγισή της συμβατή με τη Σύσταση. Ο ΟΤΕ επισημαίνει ότι, σε μια τέτοια διπλή </w:t>
      </w:r>
      <w:proofErr w:type="spellStart"/>
      <w:r w:rsidRPr="007A7BC6">
        <w:rPr>
          <w:rFonts w:ascii="Calibri" w:eastAsia="Calibri" w:hAnsi="Calibri" w:cs="Calibri"/>
          <w:bCs w:val="0"/>
          <w:kern w:val="0"/>
          <w:sz w:val="24"/>
          <w:szCs w:val="24"/>
          <w:lang w:val="el-GR"/>
          <w14:ligatures w14:val="none"/>
        </w:rPr>
        <w:t>μοντελοποίηση</w:t>
      </w:r>
      <w:proofErr w:type="spellEnd"/>
      <w:r w:rsidRPr="007A7BC6">
        <w:rPr>
          <w:rFonts w:ascii="Calibri" w:eastAsia="Calibri" w:hAnsi="Calibri" w:cs="Calibri"/>
          <w:bCs w:val="0"/>
          <w:kern w:val="0"/>
          <w:sz w:val="24"/>
          <w:szCs w:val="24"/>
          <w:lang w:val="el-GR"/>
          <w14:ligatures w14:val="none"/>
        </w:rPr>
        <w:t xml:space="preserve">, η ΕΕΤΤ θα όφειλε να αποτυπώσει όλες τις οδεύσεις που αντιστοιχούν σε κάθε τεχνολογία. Ωστόσο, στην υλοποίηση του non-VHCN η ΕΕΤΤ διαφοροποίησε το εύρος της γεωγραφικής κάλυψης των δικτύων Copper και FTTC. Η γεωγραφική κάλυψη του FTTC δικτύου </w:t>
      </w:r>
      <w:r w:rsidRPr="007A7BC6">
        <w:rPr>
          <w:rFonts w:ascii="Calibri" w:eastAsia="Calibri" w:hAnsi="Calibri" w:cs="Calibri"/>
          <w:bCs w:val="0"/>
          <w:kern w:val="0"/>
          <w:sz w:val="24"/>
          <w:szCs w:val="24"/>
          <w:lang w:val="el-GR"/>
          <w14:ligatures w14:val="none"/>
        </w:rPr>
        <w:lastRenderedPageBreak/>
        <w:t xml:space="preserve">εναρμονίζεται με τις περιοχές οι οποίες έχουν ανατεθεί στους τηλεπικοινωνιακούς </w:t>
      </w:r>
      <w:proofErr w:type="spellStart"/>
      <w:r w:rsidRPr="007A7BC6">
        <w:rPr>
          <w:rFonts w:ascii="Calibri" w:eastAsia="Calibri" w:hAnsi="Calibri" w:cs="Calibri"/>
          <w:bCs w:val="0"/>
          <w:kern w:val="0"/>
          <w:sz w:val="24"/>
          <w:szCs w:val="24"/>
          <w:lang w:val="el-GR"/>
          <w14:ligatures w14:val="none"/>
        </w:rPr>
        <w:t>παρόχους</w:t>
      </w:r>
      <w:proofErr w:type="spellEnd"/>
      <w:r w:rsidRPr="007A7BC6">
        <w:rPr>
          <w:rFonts w:ascii="Calibri" w:eastAsia="Calibri" w:hAnsi="Calibri" w:cs="Calibri"/>
          <w:bCs w:val="0"/>
          <w:kern w:val="0"/>
          <w:sz w:val="24"/>
          <w:szCs w:val="24"/>
          <w:lang w:val="el-GR"/>
          <w14:ligatures w14:val="none"/>
        </w:rPr>
        <w:t xml:space="preserve"> για ανάπτυξη FTTC (VDSL </w:t>
      </w:r>
      <w:proofErr w:type="spellStart"/>
      <w:r w:rsidRPr="007A7BC6">
        <w:rPr>
          <w:rFonts w:ascii="Calibri" w:eastAsia="Calibri" w:hAnsi="Calibri" w:cs="Calibri"/>
          <w:bCs w:val="0"/>
          <w:kern w:val="0"/>
          <w:sz w:val="24"/>
          <w:szCs w:val="24"/>
          <w:lang w:val="el-GR"/>
          <w14:ligatures w14:val="none"/>
        </w:rPr>
        <w:t>Vectoring</w:t>
      </w:r>
      <w:proofErr w:type="spellEnd"/>
      <w:r w:rsidRPr="007A7BC6">
        <w:rPr>
          <w:rFonts w:ascii="Calibri" w:eastAsia="Calibri" w:hAnsi="Calibri" w:cs="Calibri"/>
          <w:bCs w:val="0"/>
          <w:kern w:val="0"/>
          <w:sz w:val="24"/>
          <w:szCs w:val="24"/>
          <w:lang w:val="el-GR"/>
          <w14:ligatures w14:val="none"/>
        </w:rPr>
        <w:t xml:space="preserve">) δικτύου βάσει της διαδικασίας των αναθέσεων, που συνάδει με την ανάπτυξη και παροχή των υπηρεσιών VDSL </w:t>
      </w:r>
      <w:proofErr w:type="spellStart"/>
      <w:r w:rsidRPr="007A7BC6">
        <w:rPr>
          <w:rFonts w:ascii="Calibri" w:eastAsia="Calibri" w:hAnsi="Calibri" w:cs="Calibri"/>
          <w:bCs w:val="0"/>
          <w:kern w:val="0"/>
          <w:sz w:val="24"/>
          <w:szCs w:val="24"/>
          <w:lang w:val="el-GR"/>
          <w14:ligatures w14:val="none"/>
        </w:rPr>
        <w:t>Vectoring</w:t>
      </w:r>
      <w:proofErr w:type="spellEnd"/>
      <w:r w:rsidRPr="007A7BC6">
        <w:rPr>
          <w:rFonts w:ascii="Calibri" w:eastAsia="Calibri" w:hAnsi="Calibri" w:cs="Calibri"/>
          <w:bCs w:val="0"/>
          <w:kern w:val="0"/>
          <w:sz w:val="24"/>
          <w:szCs w:val="24"/>
          <w:lang w:val="el-GR"/>
          <w14:ligatures w14:val="none"/>
        </w:rPr>
        <w:t xml:space="preserve">. Στις περιοχές αυτές η Επιτροπή κάνει την υπόθεση ότι το σύνολο των συνδρομητών εξυπηρετείται μέσω υποδομών </w:t>
      </w:r>
      <w:r w:rsidRPr="007A7BC6">
        <w:rPr>
          <w:rFonts w:ascii="Calibri" w:eastAsia="Calibri" w:hAnsi="Calibri" w:cs="Calibri"/>
          <w:bCs w:val="0"/>
          <w:kern w:val="0"/>
          <w:sz w:val="24"/>
          <w:szCs w:val="24"/>
          <w14:ligatures w14:val="none"/>
        </w:rPr>
        <w:t>FTTC</w:t>
      </w:r>
      <w:r w:rsidRPr="007A7BC6">
        <w:rPr>
          <w:rFonts w:ascii="Calibri" w:eastAsia="Calibri" w:hAnsi="Calibri" w:cs="Calibri"/>
          <w:bCs w:val="0"/>
          <w:kern w:val="0"/>
          <w:sz w:val="24"/>
          <w:szCs w:val="24"/>
          <w:lang w:val="el-GR"/>
          <w14:ligatures w14:val="none"/>
        </w:rPr>
        <w:t>. Αντιθέτως, για τη γεωγραφική κάλυψη του δικτύου χαλκού (Copper), η Επιτροπή δεν λαμβάνει υπόψη υπηρεσίες χονδρικής (LLU) στις περιοχές FTTC, αλλά περιορίζει τον υπολογισμό τους αποκλειστικά στις περιοχές όπου υπάρχουν μόνο καμπίνες χαλκού. Υπό αυτή την παραδοχή, το κόστος παροχής πρόσβασης μέσω χαλκού υπολογίζεται τόσο για το τμήμα του δικτύου από την καμπίνα έως το σημείο τερματισμού στην πλευρά του τελικού χρήστη (SLU), όσο και για το τμήμα από το αστικό κέντρο (ΑΚ) έως το ίδιο σημείο (LLU). Συνεπώς, το κόστος των υπηρεσιών LLU και SLU προκύπτει σε υποσύνολο του εθνικού δικτύου χαλκού.</w:t>
      </w:r>
    </w:p>
    <w:p w14:paraId="76379092" w14:textId="6DD8B9F0" w:rsidR="00B41C9C" w:rsidRPr="00073E36" w:rsidRDefault="00B41C9C" w:rsidP="007A7BC6">
      <w:pPr>
        <w:widowControl w:val="0"/>
        <w:autoSpaceDE w:val="0"/>
        <w:autoSpaceDN w:val="0"/>
        <w:spacing w:after="240" w:line="360" w:lineRule="atLeast"/>
        <w:ind w:left="0" w:right="0"/>
        <w:jc w:val="both"/>
        <w:rPr>
          <w:rFonts w:ascii="Calibri" w:eastAsia="Calibri" w:hAnsi="Calibri" w:cs="Calibri"/>
          <w:bCs w:val="0"/>
          <w:kern w:val="0"/>
          <w:sz w:val="24"/>
          <w:szCs w:val="24"/>
          <w14:ligatures w14:val="none"/>
        </w:rPr>
      </w:pPr>
      <w:r>
        <w:rPr>
          <w:rFonts w:ascii="Calibri" w:eastAsia="Calibri" w:hAnsi="Calibri" w:cs="Calibri"/>
          <w:bCs w:val="0"/>
          <w:kern w:val="0"/>
          <w:sz w:val="24"/>
          <w:szCs w:val="24"/>
          <w14:ligatures w14:val="none"/>
        </w:rPr>
        <w:sym w:font="Wingdings" w:char="F022"/>
      </w:r>
    </w:p>
    <w:p w14:paraId="20D0A39E" w14:textId="77777777" w:rsidR="007A7BC6" w:rsidRPr="007A7BC6" w:rsidRDefault="007A7BC6" w:rsidP="007A7BC6">
      <w:pPr>
        <w:keepNext/>
        <w:keepLines/>
        <w:widowControl w:val="0"/>
        <w:numPr>
          <w:ilvl w:val="1"/>
          <w:numId w:val="0"/>
        </w:numPr>
        <w:autoSpaceDE w:val="0"/>
        <w:autoSpaceDN w:val="0"/>
        <w:spacing w:before="160" w:after="80" w:line="360" w:lineRule="atLeast"/>
        <w:ind w:left="1080" w:right="0" w:hanging="360"/>
        <w:jc w:val="both"/>
        <w:outlineLvl w:val="2"/>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Υπηρεσία </w:t>
      </w:r>
      <w:r w:rsidRPr="007A7BC6">
        <w:rPr>
          <w:rFonts w:asciiTheme="majorHAnsi" w:eastAsiaTheme="majorEastAsia" w:hAnsiTheme="majorHAnsi" w:cstheme="majorBidi"/>
          <w:bCs w:val="0"/>
          <w:color w:val="0F4761" w:themeColor="accent1" w:themeShade="BF"/>
          <w:kern w:val="0"/>
          <w:sz w:val="28"/>
          <w:szCs w:val="28"/>
          <w14:ligatures w14:val="none"/>
        </w:rPr>
        <w:t>SLU</w:t>
      </w:r>
    </w:p>
    <w:p w14:paraId="7F21ABE0" w14:textId="77777777" w:rsidR="007A7BC6" w:rsidRPr="00073E3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Αποτέλεσμα του γεωγραφικού διαχωρισμού της υλοποίηση του non-VHCN δικτύου σε περιοχές FTTC &amp; Copper είναι να προκύπτουν δύο διαφορετικές τιμές </w:t>
      </w:r>
      <w:r w:rsidRPr="007A7BC6">
        <w:rPr>
          <w:rFonts w:ascii="Cambria Math" w:eastAsia="Calibri" w:hAnsi="Cambria Math" w:cs="Cambria Math"/>
          <w:bCs w:val="0"/>
          <w:kern w:val="0"/>
          <w:sz w:val="24"/>
          <w:szCs w:val="24"/>
          <w:lang w:val="el-GR"/>
          <w14:ligatures w14:val="none"/>
        </w:rPr>
        <w:t>𝑆𝐿𝑈</w:t>
      </w:r>
      <w:r w:rsidRPr="007A7BC6">
        <w:rPr>
          <w:rFonts w:ascii="Calibri" w:eastAsia="Calibri" w:hAnsi="Calibri" w:cs="Calibri"/>
          <w:bCs w:val="0"/>
          <w:kern w:val="0"/>
          <w:sz w:val="24"/>
          <w:szCs w:val="24"/>
          <w:lang w:val="el-GR"/>
          <w14:ligatures w14:val="none"/>
        </w:rPr>
        <w:t xml:space="preserve"> </w:t>
      </w:r>
      <w:r w:rsidRPr="007A7BC6">
        <w:rPr>
          <w:rFonts w:ascii="Cambria Math" w:eastAsia="Calibri" w:hAnsi="Cambria Math" w:cs="Cambria Math"/>
          <w:bCs w:val="0"/>
          <w:kern w:val="0"/>
          <w:sz w:val="24"/>
          <w:szCs w:val="24"/>
          <w:lang w:val="el-GR"/>
          <w14:ligatures w14:val="none"/>
        </w:rPr>
        <w:t>𝐶𝑜𝑝𝑝𝑒𝑟</w:t>
      </w:r>
      <w:r w:rsidRPr="007A7BC6">
        <w:rPr>
          <w:rFonts w:ascii="Calibri" w:eastAsia="Calibri" w:hAnsi="Calibri" w:cs="Calibri"/>
          <w:bCs w:val="0"/>
          <w:kern w:val="0"/>
          <w:sz w:val="24"/>
          <w:szCs w:val="24"/>
          <w:lang w:val="el-GR"/>
          <w14:ligatures w14:val="none"/>
        </w:rPr>
        <w:t xml:space="preserve"> και </w:t>
      </w:r>
      <w:r w:rsidRPr="007A7BC6">
        <w:rPr>
          <w:rFonts w:ascii="Cambria Math" w:eastAsia="Calibri" w:hAnsi="Cambria Math" w:cs="Cambria Math"/>
          <w:bCs w:val="0"/>
          <w:kern w:val="0"/>
          <w:sz w:val="24"/>
          <w:szCs w:val="24"/>
          <w:lang w:val="el-GR"/>
          <w14:ligatures w14:val="none"/>
        </w:rPr>
        <w:t>𝑆𝐿𝑈</w:t>
      </w:r>
      <w:r w:rsidRPr="007A7BC6">
        <w:rPr>
          <w:rFonts w:ascii="Calibri" w:eastAsia="Calibri" w:hAnsi="Calibri" w:cs="Calibri"/>
          <w:bCs w:val="0"/>
          <w:kern w:val="0"/>
          <w:sz w:val="24"/>
          <w:szCs w:val="24"/>
          <w:lang w:val="el-GR"/>
          <w14:ligatures w14:val="none"/>
        </w:rPr>
        <w:t xml:space="preserve"> </w:t>
      </w:r>
      <w:r w:rsidRPr="007A7BC6">
        <w:rPr>
          <w:rFonts w:ascii="Cambria Math" w:eastAsia="Calibri" w:hAnsi="Cambria Math" w:cs="Cambria Math"/>
          <w:bCs w:val="0"/>
          <w:kern w:val="0"/>
          <w:sz w:val="24"/>
          <w:szCs w:val="24"/>
          <w:lang w:val="el-GR"/>
          <w14:ligatures w14:val="none"/>
        </w:rPr>
        <w:t>𝐹𝑇𝑇𝐶</w:t>
      </w:r>
      <w:r w:rsidRPr="007A7BC6">
        <w:rPr>
          <w:rFonts w:ascii="Calibri" w:eastAsia="Calibri" w:hAnsi="Calibri" w:cs="Calibri"/>
          <w:bCs w:val="0"/>
          <w:kern w:val="0"/>
          <w:sz w:val="24"/>
          <w:szCs w:val="24"/>
          <w:lang w:val="el-GR"/>
          <w14:ligatures w14:val="none"/>
        </w:rPr>
        <w:t xml:space="preserve">, σημαντικά διαφορετικές. Ο ΟΤΕ θεωρεί ότι δεν θα έπρεπε να υπάρχει διαφοροποίηση, καθώς η υπηρεσία </w:t>
      </w:r>
      <w:r w:rsidRPr="007A7BC6">
        <w:rPr>
          <w:rFonts w:ascii="Calibri" w:eastAsia="Calibri" w:hAnsi="Calibri" w:cs="Calibri"/>
          <w:bCs w:val="0"/>
          <w:kern w:val="0"/>
          <w:sz w:val="24"/>
          <w:szCs w:val="24"/>
          <w14:ligatures w14:val="none"/>
        </w:rPr>
        <w:t>SLU</w:t>
      </w:r>
      <w:r w:rsidRPr="007A7BC6">
        <w:rPr>
          <w:rFonts w:ascii="Calibri" w:eastAsia="Calibri" w:hAnsi="Calibri" w:cs="Calibri"/>
          <w:bCs w:val="0"/>
          <w:kern w:val="0"/>
          <w:sz w:val="24"/>
          <w:szCs w:val="24"/>
          <w:lang w:val="el-GR"/>
          <w14:ligatures w14:val="none"/>
        </w:rPr>
        <w:t xml:space="preserve"> παρέχεται πανελλαδικά. Επιπλέον σύμφωνα με την ΑΠ ΕΕΤΤ 1063/02/30-1-23 (ΦΕΚ 1028/Β/24-2-2023 «Ορισμός Εθνικής αγοράς χονδρικής τοπικής πρόσβασης σε σταθερή θέση, καθορισμός επιχειρήσεων με σημαντική ισχύ στην εν λόγω αγορά και υποχρεώσεις αυτών (Αγορά 1 Σύστασης Ευρωπαϊκής Επιτροπής 2020/2245/ΕΕ, 5ος Κύκλος Ανάλυσης)» ο ορισμός της σχετικής αγοράς είναι η Ελληνική Επικράτεια και δεν προβλέπεται πουθενά στη σχετική απόφαση γεωγραφική διαφοροποίηση των υπηρεσιών </w:t>
      </w:r>
      <w:r w:rsidRPr="007A7BC6">
        <w:rPr>
          <w:rFonts w:ascii="Calibri" w:eastAsia="Calibri" w:hAnsi="Calibri" w:cs="Calibri"/>
          <w:bCs w:val="0"/>
          <w:kern w:val="0"/>
          <w:sz w:val="24"/>
          <w:szCs w:val="24"/>
          <w14:ligatures w14:val="none"/>
        </w:rPr>
        <w:t>SLU</w:t>
      </w:r>
      <w:r w:rsidRPr="007A7BC6">
        <w:rPr>
          <w:rFonts w:ascii="Calibri" w:eastAsia="Calibri" w:hAnsi="Calibri" w:cs="Calibri"/>
          <w:bCs w:val="0"/>
          <w:kern w:val="0"/>
          <w:sz w:val="24"/>
          <w:szCs w:val="24"/>
          <w:lang w:val="el-GR"/>
          <w14:ligatures w14:val="none"/>
        </w:rPr>
        <w:t xml:space="preserve"> &amp; </w:t>
      </w:r>
      <w:r w:rsidRPr="007A7BC6">
        <w:rPr>
          <w:rFonts w:ascii="Calibri" w:eastAsia="Calibri" w:hAnsi="Calibri" w:cs="Calibri"/>
          <w:bCs w:val="0"/>
          <w:kern w:val="0"/>
          <w:sz w:val="24"/>
          <w:szCs w:val="24"/>
          <w14:ligatures w14:val="none"/>
        </w:rPr>
        <w:t>LLU</w:t>
      </w:r>
      <w:r w:rsidRPr="007A7BC6">
        <w:rPr>
          <w:rFonts w:ascii="Calibri" w:eastAsia="Calibri" w:hAnsi="Calibri" w:cs="Calibri"/>
          <w:bCs w:val="0"/>
          <w:kern w:val="0"/>
          <w:sz w:val="24"/>
          <w:szCs w:val="24"/>
          <w:lang w:val="el-GR"/>
          <w14:ligatures w14:val="none"/>
        </w:rPr>
        <w:t>. Με βάση τα ανωτέρω, η ΕΕΤΤ θα πρέπει να προχωρήσει σε αναθεώρηση της μεθοδολογίας υπολογισμού του κόστους της υπηρεσίας SLU, ώστε να προκύπτει ενιαία εθνική τιμή</w:t>
      </w:r>
    </w:p>
    <w:p w14:paraId="23E0EA8E" w14:textId="3DC1EA5F" w:rsidR="00B41C9C" w:rsidRPr="00073E36" w:rsidRDefault="00B41C9C" w:rsidP="007A7BC6">
      <w:pPr>
        <w:widowControl w:val="0"/>
        <w:autoSpaceDE w:val="0"/>
        <w:autoSpaceDN w:val="0"/>
        <w:spacing w:after="240" w:line="360" w:lineRule="atLeast"/>
        <w:ind w:left="0" w:right="0"/>
        <w:jc w:val="both"/>
        <w:rPr>
          <w:rFonts w:ascii="Calibri" w:eastAsia="Calibri" w:hAnsi="Calibri" w:cs="Calibri"/>
          <w:bCs w:val="0"/>
          <w:kern w:val="0"/>
          <w:sz w:val="24"/>
          <w:szCs w:val="24"/>
          <w14:ligatures w14:val="none"/>
        </w:rPr>
      </w:pPr>
      <w:r>
        <w:rPr>
          <w:rFonts w:ascii="Calibri" w:eastAsia="Calibri" w:hAnsi="Calibri" w:cs="Calibri"/>
          <w:bCs w:val="0"/>
          <w:kern w:val="0"/>
          <w:sz w:val="24"/>
          <w:szCs w:val="24"/>
          <w14:ligatures w14:val="none"/>
        </w:rPr>
        <w:sym w:font="Wingdings" w:char="F022"/>
      </w:r>
    </w:p>
    <w:p w14:paraId="27E59CA2" w14:textId="77777777" w:rsidR="007A7BC6" w:rsidRPr="007A7BC6" w:rsidRDefault="007A7BC6" w:rsidP="007A7BC6">
      <w:pPr>
        <w:keepNext/>
        <w:keepLines/>
        <w:widowControl w:val="0"/>
        <w:numPr>
          <w:ilvl w:val="1"/>
          <w:numId w:val="0"/>
        </w:numPr>
        <w:autoSpaceDE w:val="0"/>
        <w:autoSpaceDN w:val="0"/>
        <w:spacing w:before="160" w:after="80" w:line="360" w:lineRule="atLeast"/>
        <w:ind w:left="1080" w:right="0" w:hanging="360"/>
        <w:jc w:val="both"/>
        <w:outlineLvl w:val="2"/>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Στοιχεία ζήτησης και ανάκτηση κόστους </w:t>
      </w:r>
    </w:p>
    <w:p w14:paraId="36AD0CEB" w14:textId="77777777" w:rsidR="00B41C9C" w:rsidRPr="00073E3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Η χρήση θεωρητικών και σημαντικά υψηλότερων των πραγματικών παραδοχών ζήτησης για τα δίκτυα FTTH, FTTC και χαλκού, τα οποία θεωρείται ότι εξυπηρετούν το σύνολο των συνδρομητών στις ίδιες περιοχές κάλυψης, έχει ως αποτέλεσμα τη συστηματική </w:t>
      </w:r>
      <w:proofErr w:type="spellStart"/>
      <w:r w:rsidRPr="007A7BC6">
        <w:rPr>
          <w:rFonts w:ascii="Calibri" w:eastAsia="Calibri" w:hAnsi="Calibri" w:cs="Calibri"/>
          <w:bCs w:val="0"/>
          <w:kern w:val="0"/>
          <w:sz w:val="24"/>
          <w:szCs w:val="24"/>
          <w:lang w:val="el-GR"/>
          <w14:ligatures w14:val="none"/>
        </w:rPr>
        <w:t>υποανάκτηση</w:t>
      </w:r>
      <w:proofErr w:type="spellEnd"/>
      <w:r w:rsidRPr="007A7BC6">
        <w:rPr>
          <w:rFonts w:ascii="Calibri" w:eastAsia="Calibri" w:hAnsi="Calibri" w:cs="Calibri"/>
          <w:bCs w:val="0"/>
          <w:kern w:val="0"/>
          <w:sz w:val="24"/>
          <w:szCs w:val="24"/>
          <w:lang w:val="el-GR"/>
          <w14:ligatures w14:val="none"/>
        </w:rPr>
        <w:t xml:space="preserve"> κόστους εκ μέρους των </w:t>
      </w:r>
      <w:proofErr w:type="spellStart"/>
      <w:r w:rsidRPr="007A7BC6">
        <w:rPr>
          <w:rFonts w:ascii="Calibri" w:eastAsia="Calibri" w:hAnsi="Calibri" w:cs="Calibri"/>
          <w:bCs w:val="0"/>
          <w:kern w:val="0"/>
          <w:sz w:val="24"/>
          <w:szCs w:val="24"/>
          <w:lang w:val="el-GR"/>
          <w14:ligatures w14:val="none"/>
        </w:rPr>
        <w:t>παρόχων</w:t>
      </w:r>
      <w:proofErr w:type="spellEnd"/>
      <w:r w:rsidRPr="007A7BC6">
        <w:rPr>
          <w:rFonts w:ascii="Calibri" w:eastAsia="Calibri" w:hAnsi="Calibri" w:cs="Calibri"/>
          <w:bCs w:val="0"/>
          <w:kern w:val="0"/>
          <w:sz w:val="24"/>
          <w:szCs w:val="24"/>
          <w:lang w:val="el-GR"/>
          <w14:ligatures w14:val="none"/>
        </w:rPr>
        <w:t xml:space="preserve">. Η απόκλιση αυτή οφείλεται ιδίως (α) στην υπερεκτίμηση της διείσδυσης υπηρεσιών </w:t>
      </w:r>
      <w:r w:rsidRPr="007A7BC6">
        <w:rPr>
          <w:rFonts w:ascii="Calibri" w:eastAsia="Calibri" w:hAnsi="Calibri" w:cs="Calibri"/>
          <w:bCs w:val="0"/>
          <w:kern w:val="0"/>
          <w:sz w:val="24"/>
          <w:szCs w:val="24"/>
          <w:lang w:val="el-GR"/>
          <w14:ligatures w14:val="none"/>
        </w:rPr>
        <w:lastRenderedPageBreak/>
        <w:t xml:space="preserve">FTTH, δεδομένου ότι η πραγματική διείσδυση στο τέλος του 2024 ανήλθε μόλις σε 27%, (β) στην υπερεκτίμηση της ζήτησης υπηρεσιών πολύ υψηλών ταχυτήτων, καθώς η πραγματική διείσδυση υπηρεσιών 1 </w:t>
      </w:r>
      <w:proofErr w:type="spellStart"/>
      <w:r w:rsidRPr="007A7BC6">
        <w:rPr>
          <w:rFonts w:ascii="Calibri" w:eastAsia="Calibri" w:hAnsi="Calibri" w:cs="Calibri"/>
          <w:bCs w:val="0"/>
          <w:kern w:val="0"/>
          <w:sz w:val="24"/>
          <w:szCs w:val="24"/>
          <w:lang w:val="el-GR"/>
          <w14:ligatures w14:val="none"/>
        </w:rPr>
        <w:t>Gbps</w:t>
      </w:r>
      <w:proofErr w:type="spellEnd"/>
      <w:r w:rsidRPr="007A7BC6">
        <w:rPr>
          <w:rFonts w:ascii="Calibri" w:eastAsia="Calibri" w:hAnsi="Calibri" w:cs="Calibri"/>
          <w:bCs w:val="0"/>
          <w:kern w:val="0"/>
          <w:sz w:val="24"/>
          <w:szCs w:val="24"/>
          <w:lang w:val="el-GR"/>
          <w14:ligatures w14:val="none"/>
        </w:rPr>
        <w:t xml:space="preserve"> περιορίστηκε σε 0,51 % έναντι υπόθεσης 3,10 %, και (γ) στη συνύπαρξη τριών τεχνολογιών πρόσβασης (FTTH, FTTC και χαλκού) που εξυπηρετούν το ίδιο σύνολο συνδρομητών, οδηγώντας σε ουσιώδη απόκλιση μεταξύ θεωρητικής και πραγματικής ζήτησης. </w:t>
      </w:r>
    </w:p>
    <w:p w14:paraId="59FBB07A" w14:textId="713C704C" w:rsidR="00B41C9C" w:rsidRPr="00073E36" w:rsidRDefault="00B41C9C" w:rsidP="007A7BC6">
      <w:pPr>
        <w:widowControl w:val="0"/>
        <w:autoSpaceDE w:val="0"/>
        <w:autoSpaceDN w:val="0"/>
        <w:spacing w:after="240" w:line="360" w:lineRule="atLeast"/>
        <w:ind w:left="0" w:right="0"/>
        <w:jc w:val="both"/>
        <w:rPr>
          <w:rFonts w:ascii="Calibri" w:eastAsia="Calibri" w:hAnsi="Calibri" w:cs="Calibri"/>
          <w:bCs w:val="0"/>
          <w:kern w:val="0"/>
          <w:sz w:val="24"/>
          <w:szCs w:val="24"/>
          <w14:ligatures w14:val="none"/>
        </w:rPr>
      </w:pPr>
      <w:r>
        <w:rPr>
          <w:rFonts w:ascii="Calibri" w:eastAsia="Calibri" w:hAnsi="Calibri" w:cs="Calibri"/>
          <w:bCs w:val="0"/>
          <w:kern w:val="0"/>
          <w:sz w:val="24"/>
          <w:szCs w:val="24"/>
          <w14:ligatures w14:val="none"/>
        </w:rPr>
        <w:sym w:font="Wingdings" w:char="F022"/>
      </w:r>
    </w:p>
    <w:p w14:paraId="5B32279A"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Τέλος, οι υποδομές FTTC και FTTH λειτουργούν παράλληλα στις ίδιες περιοχές, χωρίς καμία από τις δύο να έχει αποσβεστεί, ενώ οι συνδρομητές κατανέμονται μεταξύ των δύο δικτύων. Ως αποτέλεσμα παρατηρείται περαιτέρω μείωση των εσόδων ανά τεχνολογία και αδυναμία ανάκτησης του </w:t>
      </w:r>
      <w:proofErr w:type="spellStart"/>
      <w:r w:rsidRPr="007A7BC6">
        <w:rPr>
          <w:rFonts w:ascii="Calibri" w:eastAsia="Calibri" w:hAnsi="Calibri" w:cs="Calibri"/>
          <w:bCs w:val="0"/>
          <w:kern w:val="0"/>
          <w:sz w:val="24"/>
          <w:szCs w:val="24"/>
          <w:lang w:val="el-GR"/>
          <w14:ligatures w14:val="none"/>
        </w:rPr>
        <w:t>επενδεδυμένου</w:t>
      </w:r>
      <w:proofErr w:type="spellEnd"/>
      <w:r w:rsidRPr="007A7BC6">
        <w:rPr>
          <w:rFonts w:ascii="Calibri" w:eastAsia="Calibri" w:hAnsi="Calibri" w:cs="Calibri"/>
          <w:bCs w:val="0"/>
          <w:kern w:val="0"/>
          <w:sz w:val="24"/>
          <w:szCs w:val="24"/>
          <w:lang w:val="el-GR"/>
          <w14:ligatures w14:val="none"/>
        </w:rPr>
        <w:t xml:space="preserve"> κεφαλαίου από τους </w:t>
      </w:r>
      <w:proofErr w:type="spellStart"/>
      <w:r w:rsidRPr="007A7BC6">
        <w:rPr>
          <w:rFonts w:ascii="Calibri" w:eastAsia="Calibri" w:hAnsi="Calibri" w:cs="Calibri"/>
          <w:bCs w:val="0"/>
          <w:kern w:val="0"/>
          <w:sz w:val="24"/>
          <w:szCs w:val="24"/>
          <w:lang w:val="el-GR"/>
          <w14:ligatures w14:val="none"/>
        </w:rPr>
        <w:t>παρόχους</w:t>
      </w:r>
      <w:proofErr w:type="spellEnd"/>
      <w:r w:rsidRPr="007A7BC6">
        <w:rPr>
          <w:rFonts w:ascii="Calibri" w:eastAsia="Calibri" w:hAnsi="Calibri" w:cs="Calibri"/>
          <w:bCs w:val="0"/>
          <w:kern w:val="0"/>
          <w:sz w:val="24"/>
          <w:szCs w:val="24"/>
          <w:lang w:val="el-GR"/>
          <w14:ligatures w14:val="none"/>
        </w:rPr>
        <w:t xml:space="preserve"> που ανέπτυξαν τις σχετικές υποδομές.</w:t>
      </w:r>
    </w:p>
    <w:p w14:paraId="2E261DBB"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Ως εκ τούτου, ο ΟΤΕ θεωρεί ότι η ΕΕΤΤ οφείλει να επανεξετάσει και να </w:t>
      </w:r>
      <w:proofErr w:type="spellStart"/>
      <w:r w:rsidRPr="007A7BC6">
        <w:rPr>
          <w:rFonts w:ascii="Calibri" w:eastAsia="Calibri" w:hAnsi="Calibri" w:cs="Calibri"/>
          <w:bCs w:val="0"/>
          <w:kern w:val="0"/>
          <w:sz w:val="24"/>
          <w:szCs w:val="24"/>
          <w:lang w:val="el-GR"/>
          <w14:ligatures w14:val="none"/>
        </w:rPr>
        <w:t>επικαιροποιήσει</w:t>
      </w:r>
      <w:proofErr w:type="spellEnd"/>
      <w:r w:rsidRPr="007A7BC6">
        <w:rPr>
          <w:rFonts w:ascii="Calibri" w:eastAsia="Calibri" w:hAnsi="Calibri" w:cs="Calibri"/>
          <w:bCs w:val="0"/>
          <w:kern w:val="0"/>
          <w:sz w:val="24"/>
          <w:szCs w:val="24"/>
          <w:lang w:val="el-GR"/>
          <w14:ligatures w14:val="none"/>
        </w:rPr>
        <w:t xml:space="preserve"> τις παραδοχές ζήτησης που χρησιμοποιούνται στα μοντέλα κοστολόγησης, προκειμένου να ευθυγραμμιστούν με τα πραγματικά δεδομένα της αγοράς και να διασφαλίζεται η ορθή αποτύπωση του κόστους και η πλήρης ανάκτησή του από τους </w:t>
      </w:r>
      <w:proofErr w:type="spellStart"/>
      <w:r w:rsidRPr="007A7BC6">
        <w:rPr>
          <w:rFonts w:ascii="Calibri" w:eastAsia="Calibri" w:hAnsi="Calibri" w:cs="Calibri"/>
          <w:bCs w:val="0"/>
          <w:kern w:val="0"/>
          <w:sz w:val="24"/>
          <w:szCs w:val="24"/>
          <w:lang w:val="el-GR"/>
          <w14:ligatures w14:val="none"/>
        </w:rPr>
        <w:t>παρόχους</w:t>
      </w:r>
      <w:proofErr w:type="spellEnd"/>
      <w:r w:rsidRPr="007A7BC6">
        <w:rPr>
          <w:rFonts w:ascii="Calibri" w:eastAsia="Calibri" w:hAnsi="Calibri" w:cs="Calibri"/>
          <w:bCs w:val="0"/>
          <w:kern w:val="0"/>
          <w:sz w:val="24"/>
          <w:szCs w:val="24"/>
          <w:lang w:val="el-GR"/>
          <w14:ligatures w14:val="none"/>
        </w:rPr>
        <w:t>.</w:t>
      </w:r>
    </w:p>
    <w:p w14:paraId="074F6029" w14:textId="77777777" w:rsidR="007A7BC6" w:rsidRPr="007A7BC6" w:rsidRDefault="007A7BC6" w:rsidP="007A7BC6">
      <w:pPr>
        <w:keepNext/>
        <w:keepLines/>
        <w:widowControl w:val="0"/>
        <w:autoSpaceDE w:val="0"/>
        <w:autoSpaceDN w:val="0"/>
        <w:spacing w:before="160" w:after="80" w:line="360" w:lineRule="atLeast"/>
        <w:ind w:left="360" w:right="0" w:hanging="360"/>
        <w:jc w:val="both"/>
        <w:outlineLvl w:val="1"/>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lang w:val="el-GR"/>
          <w14:ligatures w14:val="none"/>
        </w:rPr>
        <w:t>Επαναχρησιμοποίηση τεχνικών έργων υποδομής - Υπολογισμός συνολικών οδεύσεων και καλωδίων</w:t>
      </w:r>
    </w:p>
    <w:p w14:paraId="0B28B47A" w14:textId="77777777" w:rsidR="007A7BC6" w:rsidRPr="007A7BC6" w:rsidRDefault="007A7BC6" w:rsidP="007A7BC6">
      <w:pPr>
        <w:keepNext/>
        <w:keepLines/>
        <w:widowControl w:val="0"/>
        <w:numPr>
          <w:ilvl w:val="1"/>
          <w:numId w:val="0"/>
        </w:numPr>
        <w:autoSpaceDE w:val="0"/>
        <w:autoSpaceDN w:val="0"/>
        <w:spacing w:before="160" w:after="80" w:line="360" w:lineRule="atLeast"/>
        <w:ind w:left="1080" w:right="0" w:hanging="360"/>
        <w:jc w:val="both"/>
        <w:outlineLvl w:val="2"/>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Επαναχρησιμοποίηση έργων υποδομής μεταξύ </w:t>
      </w:r>
      <w:r w:rsidRPr="007A7BC6">
        <w:rPr>
          <w:rFonts w:asciiTheme="majorHAnsi" w:eastAsiaTheme="majorEastAsia" w:hAnsiTheme="majorHAnsi" w:cstheme="majorBidi"/>
          <w:bCs w:val="0"/>
          <w:color w:val="0F4761" w:themeColor="accent1" w:themeShade="BF"/>
          <w:kern w:val="0"/>
          <w:sz w:val="28"/>
          <w:szCs w:val="28"/>
          <w14:ligatures w14:val="none"/>
        </w:rPr>
        <w:t>Feeder</w:t>
      </w: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 </w:t>
      </w:r>
      <w:r w:rsidRPr="007A7BC6">
        <w:rPr>
          <w:rFonts w:asciiTheme="majorHAnsi" w:eastAsiaTheme="majorEastAsia" w:hAnsiTheme="majorHAnsi" w:cstheme="majorBidi"/>
          <w:bCs w:val="0"/>
          <w:color w:val="0F4761" w:themeColor="accent1" w:themeShade="BF"/>
          <w:kern w:val="0"/>
          <w:sz w:val="28"/>
          <w:szCs w:val="28"/>
          <w14:ligatures w14:val="none"/>
        </w:rPr>
        <w:t>Distribution</w:t>
      </w: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 &amp; </w:t>
      </w:r>
      <w:r w:rsidRPr="007A7BC6">
        <w:rPr>
          <w:rFonts w:asciiTheme="majorHAnsi" w:eastAsiaTheme="majorEastAsia" w:hAnsiTheme="majorHAnsi" w:cstheme="majorBidi"/>
          <w:bCs w:val="0"/>
          <w:color w:val="0F4761" w:themeColor="accent1" w:themeShade="BF"/>
          <w:kern w:val="0"/>
          <w:sz w:val="28"/>
          <w:szCs w:val="28"/>
          <w14:ligatures w14:val="none"/>
        </w:rPr>
        <w:t>Core</w:t>
      </w: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 στο δίκτυο </w:t>
      </w:r>
      <w:r w:rsidRPr="007A7BC6">
        <w:rPr>
          <w:rFonts w:asciiTheme="majorHAnsi" w:eastAsiaTheme="majorEastAsia" w:hAnsiTheme="majorHAnsi" w:cstheme="majorBidi"/>
          <w:bCs w:val="0"/>
          <w:color w:val="0F4761" w:themeColor="accent1" w:themeShade="BF"/>
          <w:kern w:val="0"/>
          <w:sz w:val="28"/>
          <w:szCs w:val="28"/>
          <w14:ligatures w14:val="none"/>
        </w:rPr>
        <w:t>FTTH</w:t>
      </w: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 &amp; χαλκού</w:t>
      </w:r>
    </w:p>
    <w:p w14:paraId="33A06CE9" w14:textId="77777777" w:rsidR="007A7BC6" w:rsidRPr="007A7BC6" w:rsidRDefault="007A7BC6" w:rsidP="007A7BC6">
      <w:pPr>
        <w:widowControl w:val="0"/>
        <w:autoSpaceDE w:val="0"/>
        <w:autoSpaceDN w:val="0"/>
        <w:spacing w:after="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Στην διαβούλευση αναφέρεται ότι γίνεται επαναχρησιμοποίηση χαντακιών μεταξύ τμημάτων του ίδιου τύπου δικτύου (πχ FTTH). Αυτά υπολογίζονται:</w:t>
      </w:r>
    </w:p>
    <w:p w14:paraId="2C7EF027" w14:textId="77777777" w:rsidR="007A7BC6" w:rsidRPr="007A7BC6" w:rsidRDefault="007A7BC6" w:rsidP="00034FBB">
      <w:pPr>
        <w:widowControl w:val="0"/>
        <w:numPr>
          <w:ilvl w:val="0"/>
          <w:numId w:val="6"/>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στην περίπτωση του δικτύου FTTH, μεταξύ του κυρίως δικτύου του FTTH (</w:t>
      </w:r>
      <w:proofErr w:type="spellStart"/>
      <w:r w:rsidRPr="007A7BC6">
        <w:rPr>
          <w:rFonts w:ascii="Calibri" w:eastAsia="Calibri" w:hAnsi="Calibri" w:cs="Calibri"/>
          <w:bCs w:val="0"/>
          <w:kern w:val="0"/>
          <w:sz w:val="24"/>
          <w:szCs w:val="24"/>
          <w:lang w:val="el-GR"/>
          <w14:ligatures w14:val="none"/>
        </w:rPr>
        <w:t>Feeder</w:t>
      </w:r>
      <w:proofErr w:type="spellEnd"/>
      <w:r w:rsidRPr="007A7BC6">
        <w:rPr>
          <w:rFonts w:ascii="Calibri" w:eastAsia="Calibri" w:hAnsi="Calibri" w:cs="Calibri"/>
          <w:bCs w:val="0"/>
          <w:kern w:val="0"/>
          <w:sz w:val="24"/>
          <w:szCs w:val="24"/>
          <w:lang w:val="el-GR"/>
          <w14:ligatures w14:val="none"/>
        </w:rPr>
        <w:t xml:space="preserve"> FΤΤΗ) και του αντίστοιχου δικτύου διανομής (FTTH </w:t>
      </w:r>
      <w:proofErr w:type="spellStart"/>
      <w:r w:rsidRPr="007A7BC6">
        <w:rPr>
          <w:rFonts w:ascii="Calibri" w:eastAsia="Calibri" w:hAnsi="Calibri" w:cs="Calibri"/>
          <w:bCs w:val="0"/>
          <w:kern w:val="0"/>
          <w:sz w:val="24"/>
          <w:szCs w:val="24"/>
          <w:lang w:val="el-GR"/>
          <w14:ligatures w14:val="none"/>
        </w:rPr>
        <w:t>Distribution</w:t>
      </w:r>
      <w:proofErr w:type="spellEnd"/>
      <w:r w:rsidRPr="007A7BC6">
        <w:rPr>
          <w:rFonts w:ascii="Calibri" w:eastAsia="Calibri" w:hAnsi="Calibri" w:cs="Calibri"/>
          <w:bCs w:val="0"/>
          <w:kern w:val="0"/>
          <w:sz w:val="24"/>
          <w:szCs w:val="24"/>
          <w:lang w:val="el-GR"/>
          <w14:ligatures w14:val="none"/>
        </w:rPr>
        <w:t xml:space="preserve">) και </w:t>
      </w:r>
    </w:p>
    <w:p w14:paraId="1CCFC2EA" w14:textId="77777777" w:rsidR="007A7BC6" w:rsidRPr="007A7BC6" w:rsidRDefault="007A7BC6" w:rsidP="00034FBB">
      <w:pPr>
        <w:widowControl w:val="0"/>
        <w:numPr>
          <w:ilvl w:val="0"/>
          <w:numId w:val="6"/>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στην περίπτωση του δικτύου χαλκού, μεταξύ του κυρίως δικτύου χαλκού (Copper </w:t>
      </w:r>
      <w:proofErr w:type="spellStart"/>
      <w:r w:rsidRPr="007A7BC6">
        <w:rPr>
          <w:rFonts w:ascii="Calibri" w:eastAsia="Calibri" w:hAnsi="Calibri" w:cs="Calibri"/>
          <w:bCs w:val="0"/>
          <w:kern w:val="0"/>
          <w:sz w:val="24"/>
          <w:szCs w:val="24"/>
          <w:lang w:val="el-GR"/>
          <w14:ligatures w14:val="none"/>
        </w:rPr>
        <w:t>Feeder</w:t>
      </w:r>
      <w:proofErr w:type="spellEnd"/>
      <w:r w:rsidRPr="007A7BC6">
        <w:rPr>
          <w:rFonts w:ascii="Calibri" w:eastAsia="Calibri" w:hAnsi="Calibri" w:cs="Calibri"/>
          <w:bCs w:val="0"/>
          <w:kern w:val="0"/>
          <w:sz w:val="24"/>
          <w:szCs w:val="24"/>
          <w:lang w:val="el-GR"/>
          <w14:ligatures w14:val="none"/>
        </w:rPr>
        <w:t xml:space="preserve">) και του αντίστοιχου διανομής (Copper </w:t>
      </w:r>
      <w:proofErr w:type="spellStart"/>
      <w:r w:rsidRPr="007A7BC6">
        <w:rPr>
          <w:rFonts w:ascii="Calibri" w:eastAsia="Calibri" w:hAnsi="Calibri" w:cs="Calibri"/>
          <w:bCs w:val="0"/>
          <w:kern w:val="0"/>
          <w:sz w:val="24"/>
          <w:szCs w:val="24"/>
          <w:lang w:val="el-GR"/>
          <w14:ligatures w14:val="none"/>
        </w:rPr>
        <w:t>Distribution</w:t>
      </w:r>
      <w:proofErr w:type="spellEnd"/>
      <w:r w:rsidRPr="007A7BC6">
        <w:rPr>
          <w:rFonts w:ascii="Calibri" w:eastAsia="Calibri" w:hAnsi="Calibri" w:cs="Calibri"/>
          <w:bCs w:val="0"/>
          <w:kern w:val="0"/>
          <w:sz w:val="24"/>
          <w:szCs w:val="24"/>
          <w:lang w:val="el-GR"/>
          <w14:ligatures w14:val="none"/>
        </w:rPr>
        <w:t>)</w:t>
      </w:r>
    </w:p>
    <w:p w14:paraId="69754E11" w14:textId="77777777" w:rsidR="007A7BC6" w:rsidRPr="007A7BC6" w:rsidRDefault="007A7BC6" w:rsidP="00034FBB">
      <w:pPr>
        <w:widowControl w:val="0"/>
        <w:numPr>
          <w:ilvl w:val="0"/>
          <w:numId w:val="6"/>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τα κοινά χαντάκια υπολογίζονται στο μοντέλο GIS ως επικάλυψη των αντίστοιχων οδεύσεων και το μήκος του δικτύου που επαναχρησιμοποιείται </w:t>
      </w:r>
      <w:proofErr w:type="spellStart"/>
      <w:r w:rsidRPr="007A7BC6">
        <w:rPr>
          <w:rFonts w:ascii="Calibri" w:eastAsia="Calibri" w:hAnsi="Calibri" w:cs="Calibri"/>
          <w:bCs w:val="0"/>
          <w:kern w:val="0"/>
          <w:sz w:val="24"/>
          <w:szCs w:val="24"/>
          <w:lang w:val="el-GR"/>
          <w14:ligatures w14:val="none"/>
        </w:rPr>
        <w:t>απομειώνεται</w:t>
      </w:r>
      <w:proofErr w:type="spellEnd"/>
      <w:r w:rsidRPr="007A7BC6">
        <w:rPr>
          <w:rFonts w:ascii="Calibri" w:eastAsia="Calibri" w:hAnsi="Calibri" w:cs="Calibri"/>
          <w:bCs w:val="0"/>
          <w:kern w:val="0"/>
          <w:sz w:val="24"/>
          <w:szCs w:val="24"/>
          <w:lang w:val="el-GR"/>
          <w14:ligatures w14:val="none"/>
        </w:rPr>
        <w:t xml:space="preserve"> από το </w:t>
      </w:r>
      <w:proofErr w:type="spellStart"/>
      <w:r w:rsidRPr="007A7BC6">
        <w:rPr>
          <w:rFonts w:ascii="Calibri" w:eastAsia="Calibri" w:hAnsi="Calibri" w:cs="Calibri"/>
          <w:bCs w:val="0"/>
          <w:kern w:val="0"/>
          <w:sz w:val="24"/>
          <w:szCs w:val="24"/>
          <w:lang w:val="el-GR"/>
          <w14:ligatures w14:val="none"/>
        </w:rPr>
        <w:t>Distribution</w:t>
      </w:r>
      <w:proofErr w:type="spellEnd"/>
      <w:r w:rsidRPr="007A7BC6">
        <w:rPr>
          <w:rFonts w:ascii="Calibri" w:eastAsia="Calibri" w:hAnsi="Calibri" w:cs="Calibri"/>
          <w:bCs w:val="0"/>
          <w:kern w:val="0"/>
          <w:sz w:val="24"/>
          <w:szCs w:val="24"/>
          <w:lang w:val="el-GR"/>
          <w14:ligatures w14:val="none"/>
        </w:rPr>
        <w:t xml:space="preserve">. </w:t>
      </w:r>
    </w:p>
    <w:p w14:paraId="5440D1D1"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Στο FTTC δεν υπολογίζεται επαναχρησιμοποίηση καθώς το δίκτυο διανομής (</w:t>
      </w:r>
      <w:proofErr w:type="spellStart"/>
      <w:r w:rsidRPr="007A7BC6">
        <w:rPr>
          <w:rFonts w:ascii="Calibri" w:eastAsia="Calibri" w:hAnsi="Calibri" w:cs="Calibri"/>
          <w:bCs w:val="0"/>
          <w:kern w:val="0"/>
          <w:sz w:val="24"/>
          <w:szCs w:val="24"/>
          <w:lang w:val="el-GR"/>
          <w14:ligatures w14:val="none"/>
        </w:rPr>
        <w:t>Distribution</w:t>
      </w:r>
      <w:proofErr w:type="spellEnd"/>
      <w:r w:rsidRPr="007A7BC6">
        <w:rPr>
          <w:rFonts w:ascii="Calibri" w:eastAsia="Calibri" w:hAnsi="Calibri" w:cs="Calibri"/>
          <w:bCs w:val="0"/>
          <w:kern w:val="0"/>
          <w:sz w:val="24"/>
          <w:szCs w:val="24"/>
          <w:lang w:val="el-GR"/>
          <w14:ligatures w14:val="none"/>
        </w:rPr>
        <w:t>) αφορά χαντάκια χαλκού, ενώ το κομμάτι στο κύριο δίκτυο (</w:t>
      </w:r>
      <w:proofErr w:type="spellStart"/>
      <w:r w:rsidRPr="007A7BC6">
        <w:rPr>
          <w:rFonts w:ascii="Calibri" w:eastAsia="Calibri" w:hAnsi="Calibri" w:cs="Calibri"/>
          <w:bCs w:val="0"/>
          <w:kern w:val="0"/>
          <w:sz w:val="24"/>
          <w:szCs w:val="24"/>
          <w:lang w:val="el-GR"/>
          <w14:ligatures w14:val="none"/>
        </w:rPr>
        <w:t>Feeder</w:t>
      </w:r>
      <w:proofErr w:type="spellEnd"/>
      <w:r w:rsidRPr="007A7BC6">
        <w:rPr>
          <w:rFonts w:ascii="Calibri" w:eastAsia="Calibri" w:hAnsi="Calibri" w:cs="Calibri"/>
          <w:bCs w:val="0"/>
          <w:kern w:val="0"/>
          <w:sz w:val="24"/>
          <w:szCs w:val="24"/>
          <w:lang w:val="el-GR"/>
          <w14:ligatures w14:val="none"/>
        </w:rPr>
        <w:t xml:space="preserve"> τμήμα) αφορά οδεύσεις οπτικών ινών.</w:t>
      </w:r>
    </w:p>
    <w:p w14:paraId="55BE317D" w14:textId="77777777" w:rsidR="007A7BC6" w:rsidRPr="007A7BC6" w:rsidRDefault="007A7BC6" w:rsidP="007A7BC6">
      <w:pPr>
        <w:widowControl w:val="0"/>
        <w:autoSpaceDE w:val="0"/>
        <w:autoSpaceDN w:val="0"/>
        <w:spacing w:after="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lastRenderedPageBreak/>
        <w:t xml:space="preserve">Ο τρόπος υπολογισμού της επαναχρησιμοποίησης του μοντέλου, όπως αναφέρθηκαν παραπάνω, δεν συνάδει με τις πραγματικές συνθήκες ανάπτυξης δικτύων και θα πρέπει να γίνουν οι παρακάτω αλλαγές στον τρόπο υπολογισμού. Συγκεκριμένα για το δίκτυο </w:t>
      </w:r>
      <w:r w:rsidRPr="007A7BC6">
        <w:rPr>
          <w:rFonts w:ascii="Calibri" w:eastAsia="Calibri" w:hAnsi="Calibri" w:cs="Calibri"/>
          <w:bCs w:val="0"/>
          <w:kern w:val="0"/>
          <w:sz w:val="24"/>
          <w:szCs w:val="24"/>
          <w14:ligatures w14:val="none"/>
        </w:rPr>
        <w:t>FTTH</w:t>
      </w:r>
      <w:r w:rsidRPr="007A7BC6">
        <w:rPr>
          <w:rFonts w:ascii="Calibri" w:eastAsia="Calibri" w:hAnsi="Calibri" w:cs="Calibri"/>
          <w:bCs w:val="0"/>
          <w:kern w:val="0"/>
          <w:sz w:val="24"/>
          <w:szCs w:val="24"/>
          <w:lang w:val="el-GR"/>
          <w14:ligatures w14:val="none"/>
        </w:rPr>
        <w:t>:</w:t>
      </w:r>
    </w:p>
    <w:p w14:paraId="7C7D7E32" w14:textId="77777777" w:rsidR="007A7BC6" w:rsidRPr="007A7BC6" w:rsidRDefault="007A7BC6" w:rsidP="00034FBB">
      <w:pPr>
        <w:widowControl w:val="0"/>
        <w:numPr>
          <w:ilvl w:val="0"/>
          <w:numId w:val="6"/>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η υλοποίηση ενός χαντακιού για το δίκτυο διανομής (</w:t>
      </w:r>
      <w:r w:rsidRPr="007A7BC6">
        <w:rPr>
          <w:rFonts w:ascii="Calibri" w:eastAsia="Calibri" w:hAnsi="Calibri" w:cs="Calibri"/>
          <w:bCs w:val="0"/>
          <w:kern w:val="0"/>
          <w:sz w:val="24"/>
          <w:szCs w:val="24"/>
          <w14:ligatures w14:val="none"/>
        </w:rPr>
        <w:t>D</w:t>
      </w:r>
      <w:proofErr w:type="spellStart"/>
      <w:r w:rsidRPr="007A7BC6">
        <w:rPr>
          <w:rFonts w:ascii="Calibri" w:eastAsia="Calibri" w:hAnsi="Calibri" w:cs="Calibri"/>
          <w:bCs w:val="0"/>
          <w:kern w:val="0"/>
          <w:sz w:val="24"/>
          <w:szCs w:val="24"/>
          <w:lang w:val="el-GR"/>
          <w14:ligatures w14:val="none"/>
        </w:rPr>
        <w:t>istribution</w:t>
      </w:r>
      <w:proofErr w:type="spellEnd"/>
      <w:r w:rsidRPr="007A7BC6">
        <w:rPr>
          <w:rFonts w:ascii="Calibri" w:eastAsia="Calibri" w:hAnsi="Calibri" w:cs="Calibri"/>
          <w:bCs w:val="0"/>
          <w:kern w:val="0"/>
          <w:sz w:val="24"/>
          <w:szCs w:val="24"/>
          <w:lang w:val="el-GR"/>
          <w14:ligatures w14:val="none"/>
        </w:rPr>
        <w:t>), είναι σαφώς πιο απαιτητική σε σχέση με το δίκτυο τροφοδοσίας (</w:t>
      </w:r>
      <w:r w:rsidRPr="007A7BC6">
        <w:rPr>
          <w:rFonts w:ascii="Calibri" w:eastAsia="Calibri" w:hAnsi="Calibri" w:cs="Calibri"/>
          <w:bCs w:val="0"/>
          <w:kern w:val="0"/>
          <w:sz w:val="24"/>
          <w:szCs w:val="24"/>
          <w14:ligatures w14:val="none"/>
        </w:rPr>
        <w:t>Feeder</w:t>
      </w:r>
      <w:r w:rsidRPr="007A7BC6">
        <w:rPr>
          <w:rFonts w:ascii="Calibri" w:eastAsia="Calibri" w:hAnsi="Calibri" w:cs="Calibri"/>
          <w:bCs w:val="0"/>
          <w:kern w:val="0"/>
          <w:sz w:val="24"/>
          <w:szCs w:val="24"/>
          <w:lang w:val="el-GR"/>
          <w14:ligatures w14:val="none"/>
        </w:rPr>
        <w:t xml:space="preserve">), καθώς προϋποθέτει την εγκατάσταση περισσότερων σωλήνων και σωληνίσκων, ενώ στο </w:t>
      </w:r>
      <w:r w:rsidRPr="007A7BC6">
        <w:rPr>
          <w:rFonts w:ascii="Calibri" w:eastAsia="Calibri" w:hAnsi="Calibri" w:cs="Calibri"/>
          <w:bCs w:val="0"/>
          <w:kern w:val="0"/>
          <w:sz w:val="24"/>
          <w:szCs w:val="24"/>
          <w14:ligatures w14:val="none"/>
        </w:rPr>
        <w:t>Feeder</w:t>
      </w:r>
      <w:r w:rsidRPr="007A7BC6">
        <w:rPr>
          <w:rFonts w:ascii="Calibri" w:eastAsia="Calibri" w:hAnsi="Calibri" w:cs="Calibri"/>
          <w:bCs w:val="0"/>
          <w:kern w:val="0"/>
          <w:sz w:val="24"/>
          <w:szCs w:val="24"/>
          <w:lang w:val="el-GR"/>
          <w14:ligatures w14:val="none"/>
        </w:rPr>
        <w:t xml:space="preserve"> στις περισσότερες περιπτώσεις επαρκεί η τοποθέτηση ενός μόνο σωλήνα με </w:t>
      </w:r>
      <w:proofErr w:type="spellStart"/>
      <w:r w:rsidRPr="007A7BC6">
        <w:rPr>
          <w:rFonts w:ascii="Calibri" w:eastAsia="Calibri" w:hAnsi="Calibri" w:cs="Calibri"/>
          <w:bCs w:val="0"/>
          <w:kern w:val="0"/>
          <w:sz w:val="24"/>
          <w:szCs w:val="24"/>
          <w:lang w:val="el-GR"/>
          <w14:ligatures w14:val="none"/>
        </w:rPr>
        <w:t>μικροσωληνίσκους</w:t>
      </w:r>
      <w:proofErr w:type="spellEnd"/>
      <w:r w:rsidRPr="007A7BC6">
        <w:rPr>
          <w:rFonts w:ascii="Calibri" w:eastAsia="Calibri" w:hAnsi="Calibri" w:cs="Calibri"/>
          <w:bCs w:val="0"/>
          <w:kern w:val="0"/>
          <w:sz w:val="24"/>
          <w:szCs w:val="24"/>
          <w:lang w:val="el-GR"/>
          <w14:ligatures w14:val="none"/>
        </w:rPr>
        <w:t xml:space="preserve">. Συνεπώς, το κοινό χαντάκι θα πρέπει να υπολογίζεται ως χαντάκι </w:t>
      </w:r>
      <w:r w:rsidRPr="007A7BC6">
        <w:rPr>
          <w:rFonts w:ascii="Calibri" w:eastAsia="Calibri" w:hAnsi="Calibri" w:cs="Calibri"/>
          <w:bCs w:val="0"/>
          <w:kern w:val="0"/>
          <w:sz w:val="24"/>
          <w:szCs w:val="24"/>
          <w14:ligatures w14:val="none"/>
        </w:rPr>
        <w:t>Distribution</w:t>
      </w:r>
      <w:r w:rsidRPr="007A7BC6">
        <w:rPr>
          <w:rFonts w:ascii="Calibri" w:eastAsia="Calibri" w:hAnsi="Calibri" w:cs="Calibri"/>
          <w:bCs w:val="0"/>
          <w:kern w:val="0"/>
          <w:sz w:val="24"/>
          <w:szCs w:val="24"/>
          <w:lang w:val="el-GR"/>
          <w14:ligatures w14:val="none"/>
        </w:rPr>
        <w:t xml:space="preserve">, το οποίο είναι και τυπικά ακριβότερο από το </w:t>
      </w:r>
      <w:r w:rsidRPr="007A7BC6">
        <w:rPr>
          <w:rFonts w:ascii="Calibri" w:eastAsia="Calibri" w:hAnsi="Calibri" w:cs="Calibri"/>
          <w:bCs w:val="0"/>
          <w:kern w:val="0"/>
          <w:sz w:val="24"/>
          <w:szCs w:val="24"/>
          <w14:ligatures w14:val="none"/>
        </w:rPr>
        <w:t>Feeder</w:t>
      </w:r>
      <w:r w:rsidRPr="007A7BC6">
        <w:rPr>
          <w:rFonts w:ascii="Calibri" w:eastAsia="Calibri" w:hAnsi="Calibri" w:cs="Calibri"/>
          <w:bCs w:val="0"/>
          <w:kern w:val="0"/>
          <w:sz w:val="24"/>
          <w:szCs w:val="24"/>
          <w:lang w:val="el-GR"/>
          <w14:ligatures w14:val="none"/>
        </w:rPr>
        <w:t xml:space="preserve">, καθώς περιλαμβάνει το κόστος τόσο των σωλήνων όσο και των </w:t>
      </w:r>
      <w:proofErr w:type="spellStart"/>
      <w:r w:rsidRPr="007A7BC6">
        <w:rPr>
          <w:rFonts w:ascii="Calibri" w:eastAsia="Calibri" w:hAnsi="Calibri" w:cs="Calibri"/>
          <w:bCs w:val="0"/>
          <w:kern w:val="0"/>
          <w:sz w:val="24"/>
          <w:szCs w:val="24"/>
          <w:lang w:val="el-GR"/>
          <w14:ligatures w14:val="none"/>
        </w:rPr>
        <w:t>μικροσωληνίων</w:t>
      </w:r>
      <w:proofErr w:type="spellEnd"/>
    </w:p>
    <w:p w14:paraId="755F32AE" w14:textId="77777777" w:rsidR="007A7BC6" w:rsidRPr="007A7BC6" w:rsidRDefault="007A7BC6" w:rsidP="00034FBB">
      <w:pPr>
        <w:widowControl w:val="0"/>
        <w:numPr>
          <w:ilvl w:val="0"/>
          <w:numId w:val="6"/>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Στον πίνακα "</w:t>
      </w:r>
      <w:proofErr w:type="spellStart"/>
      <w:r w:rsidRPr="007A7BC6">
        <w:rPr>
          <w:rFonts w:ascii="Calibri" w:eastAsia="Calibri" w:hAnsi="Calibri" w:cs="Calibri"/>
          <w:bCs w:val="0"/>
          <w:kern w:val="0"/>
          <w:sz w:val="24"/>
          <w:szCs w:val="24"/>
          <w:lang w:val="el-GR"/>
          <w14:ligatures w14:val="none"/>
        </w:rPr>
        <w:t>Network_Elements</w:t>
      </w:r>
      <w:proofErr w:type="spellEnd"/>
      <w:r w:rsidRPr="007A7BC6">
        <w:rPr>
          <w:rFonts w:ascii="Calibri" w:eastAsia="Calibri" w:hAnsi="Calibri" w:cs="Calibri"/>
          <w:bCs w:val="0"/>
          <w:kern w:val="0"/>
          <w:sz w:val="24"/>
          <w:szCs w:val="24"/>
          <w:lang w:val="el-GR"/>
          <w14:ligatures w14:val="none"/>
        </w:rPr>
        <w:t xml:space="preserve">" το κόστος του χαντακιού του </w:t>
      </w:r>
      <w:r w:rsidRPr="007A7BC6">
        <w:rPr>
          <w:rFonts w:ascii="Calibri" w:eastAsia="Calibri" w:hAnsi="Calibri" w:cs="Calibri"/>
          <w:bCs w:val="0"/>
          <w:kern w:val="0"/>
          <w:sz w:val="24"/>
          <w:szCs w:val="24"/>
          <w14:ligatures w14:val="none"/>
        </w:rPr>
        <w:t>F</w:t>
      </w:r>
      <w:proofErr w:type="spellStart"/>
      <w:r w:rsidRPr="007A7BC6">
        <w:rPr>
          <w:rFonts w:ascii="Calibri" w:eastAsia="Calibri" w:hAnsi="Calibri" w:cs="Calibri"/>
          <w:bCs w:val="0"/>
          <w:kern w:val="0"/>
          <w:sz w:val="24"/>
          <w:szCs w:val="24"/>
          <w:lang w:val="el-GR"/>
          <w14:ligatures w14:val="none"/>
        </w:rPr>
        <w:t>eeder</w:t>
      </w:r>
      <w:proofErr w:type="spellEnd"/>
      <w:r w:rsidRPr="007A7BC6">
        <w:rPr>
          <w:rFonts w:ascii="Calibri" w:eastAsia="Calibri" w:hAnsi="Calibri" w:cs="Calibri"/>
          <w:bCs w:val="0"/>
          <w:kern w:val="0"/>
          <w:sz w:val="24"/>
          <w:szCs w:val="24"/>
          <w:lang w:val="el-GR"/>
          <w14:ligatures w14:val="none"/>
        </w:rPr>
        <w:t xml:space="preserve"> </w:t>
      </w:r>
      <w:r w:rsidRPr="006647F9">
        <w:rPr>
          <w:rFonts w:ascii="Calibri" w:eastAsia="Calibri" w:hAnsi="Calibri" w:cs="Calibri"/>
          <w:bCs w:val="0"/>
          <w:kern w:val="0"/>
          <w:sz w:val="24"/>
          <w:szCs w:val="24"/>
          <w:lang w:val="el-GR"/>
          <w14:ligatures w14:val="none"/>
        </w:rPr>
        <w:t xml:space="preserve">δικτύου ορίζεται ως 20€/μ και του </w:t>
      </w:r>
      <w:r w:rsidRPr="006647F9">
        <w:rPr>
          <w:rFonts w:ascii="Calibri" w:eastAsia="Calibri" w:hAnsi="Calibri" w:cs="Calibri"/>
          <w:bCs w:val="0"/>
          <w:kern w:val="0"/>
          <w:sz w:val="24"/>
          <w:szCs w:val="24"/>
          <w14:ligatures w14:val="none"/>
        </w:rPr>
        <w:t>D</w:t>
      </w:r>
      <w:proofErr w:type="spellStart"/>
      <w:r w:rsidRPr="006647F9">
        <w:rPr>
          <w:rFonts w:ascii="Calibri" w:eastAsia="Calibri" w:hAnsi="Calibri" w:cs="Calibri"/>
          <w:bCs w:val="0"/>
          <w:kern w:val="0"/>
          <w:sz w:val="24"/>
          <w:szCs w:val="24"/>
          <w:lang w:val="el-GR"/>
          <w14:ligatures w14:val="none"/>
        </w:rPr>
        <w:t>istribution</w:t>
      </w:r>
      <w:proofErr w:type="spellEnd"/>
      <w:r w:rsidRPr="006647F9">
        <w:rPr>
          <w:rFonts w:ascii="Calibri" w:eastAsia="Calibri" w:hAnsi="Calibri" w:cs="Calibri"/>
          <w:bCs w:val="0"/>
          <w:kern w:val="0"/>
          <w:sz w:val="24"/>
          <w:szCs w:val="24"/>
          <w:lang w:val="el-GR"/>
          <w14:ligatures w14:val="none"/>
        </w:rPr>
        <w:t xml:space="preserve"> με 17€/μ. Οι τιμές διαφέρουν σε σχέση με αυτές που έχει</w:t>
      </w:r>
      <w:r w:rsidRPr="007A7BC6">
        <w:rPr>
          <w:rFonts w:ascii="Calibri" w:eastAsia="Calibri" w:hAnsi="Calibri" w:cs="Calibri"/>
          <w:bCs w:val="0"/>
          <w:kern w:val="0"/>
          <w:sz w:val="24"/>
          <w:szCs w:val="24"/>
          <w:lang w:val="el-GR"/>
          <w14:ligatures w14:val="none"/>
        </w:rPr>
        <w:t xml:space="preserve"> υποβάλει ο ΟΤΕ, με το κόστος του </w:t>
      </w:r>
      <w:r w:rsidRPr="007A7BC6">
        <w:rPr>
          <w:rFonts w:ascii="Calibri" w:eastAsia="Calibri" w:hAnsi="Calibri" w:cs="Calibri"/>
          <w:bCs w:val="0"/>
          <w:kern w:val="0"/>
          <w:sz w:val="24"/>
          <w:szCs w:val="24"/>
          <w14:ligatures w14:val="none"/>
        </w:rPr>
        <w:t>Feeder</w:t>
      </w:r>
      <w:r w:rsidRPr="007A7BC6">
        <w:rPr>
          <w:rFonts w:ascii="Calibri" w:eastAsia="Calibri" w:hAnsi="Calibri" w:cs="Calibri"/>
          <w:bCs w:val="0"/>
          <w:kern w:val="0"/>
          <w:sz w:val="24"/>
          <w:szCs w:val="24"/>
          <w:lang w:val="el-GR"/>
          <w14:ligatures w14:val="none"/>
        </w:rPr>
        <w:t xml:space="preserve"> να υπολογίζεται μικρότερο του </w:t>
      </w:r>
      <w:r w:rsidRPr="007A7BC6">
        <w:rPr>
          <w:rFonts w:ascii="Calibri" w:eastAsia="Calibri" w:hAnsi="Calibri" w:cs="Calibri"/>
          <w:bCs w:val="0"/>
          <w:kern w:val="0"/>
          <w:sz w:val="24"/>
          <w:szCs w:val="24"/>
          <w14:ligatures w14:val="none"/>
        </w:rPr>
        <w:t>Distribution</w:t>
      </w:r>
      <w:r w:rsidRPr="007A7BC6">
        <w:rPr>
          <w:rFonts w:ascii="Calibri" w:eastAsia="Calibri" w:hAnsi="Calibri" w:cs="Calibri"/>
          <w:bCs w:val="0"/>
          <w:kern w:val="0"/>
          <w:sz w:val="24"/>
          <w:szCs w:val="24"/>
          <w:lang w:val="el-GR"/>
          <w14:ligatures w14:val="none"/>
        </w:rPr>
        <w:t xml:space="preserve">.  </w:t>
      </w:r>
    </w:p>
    <w:p w14:paraId="60283A6A" w14:textId="77777777" w:rsidR="007A7BC6" w:rsidRPr="00073E3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Σε σχέση με τον τρόπο υπολογισμού της επαναχρησιμοποίησης χαντακιών για το δίκτυο </w:t>
      </w:r>
      <w:r w:rsidRPr="007A7BC6">
        <w:rPr>
          <w:rFonts w:ascii="Calibri" w:eastAsia="Calibri" w:hAnsi="Calibri" w:cs="Calibri"/>
          <w:bCs w:val="0"/>
          <w:kern w:val="0"/>
          <w:sz w:val="24"/>
          <w:szCs w:val="24"/>
          <w14:ligatures w14:val="none"/>
        </w:rPr>
        <w:t>FTTH</w:t>
      </w:r>
      <w:r w:rsidRPr="007A7BC6">
        <w:rPr>
          <w:rFonts w:ascii="Calibri" w:eastAsia="Calibri" w:hAnsi="Calibri" w:cs="Calibri"/>
          <w:bCs w:val="0"/>
          <w:kern w:val="0"/>
          <w:sz w:val="24"/>
          <w:szCs w:val="24"/>
          <w:lang w:val="el-GR"/>
          <w14:ligatures w14:val="none"/>
        </w:rPr>
        <w:t xml:space="preserve"> μεταξύ του δικτύου </w:t>
      </w:r>
      <w:r w:rsidRPr="007A7BC6">
        <w:rPr>
          <w:rFonts w:ascii="Calibri" w:eastAsia="Calibri" w:hAnsi="Calibri" w:cs="Calibri"/>
          <w:bCs w:val="0"/>
          <w:kern w:val="0"/>
          <w:sz w:val="24"/>
          <w:szCs w:val="24"/>
          <w14:ligatures w14:val="none"/>
        </w:rPr>
        <w:t>D</w:t>
      </w:r>
      <w:proofErr w:type="spellStart"/>
      <w:r w:rsidRPr="007A7BC6">
        <w:rPr>
          <w:rFonts w:ascii="Calibri" w:eastAsia="Calibri" w:hAnsi="Calibri" w:cs="Calibri"/>
          <w:bCs w:val="0"/>
          <w:kern w:val="0"/>
          <w:sz w:val="24"/>
          <w:szCs w:val="24"/>
          <w:lang w:val="el-GR"/>
          <w14:ligatures w14:val="none"/>
        </w:rPr>
        <w:t>istribution</w:t>
      </w:r>
      <w:proofErr w:type="spellEnd"/>
      <w:r w:rsidRPr="007A7BC6">
        <w:rPr>
          <w:rFonts w:ascii="Calibri" w:eastAsia="Calibri" w:hAnsi="Calibri" w:cs="Calibri"/>
          <w:bCs w:val="0"/>
          <w:kern w:val="0"/>
          <w:sz w:val="24"/>
          <w:szCs w:val="24"/>
          <w:lang w:val="el-GR"/>
          <w14:ligatures w14:val="none"/>
        </w:rPr>
        <w:t xml:space="preserve"> και του δικτύου </w:t>
      </w:r>
      <w:proofErr w:type="spellStart"/>
      <w:r w:rsidRPr="007A7BC6">
        <w:rPr>
          <w:rFonts w:ascii="Calibri" w:eastAsia="Calibri" w:hAnsi="Calibri" w:cs="Calibri"/>
          <w:bCs w:val="0"/>
          <w:kern w:val="0"/>
          <w:sz w:val="24"/>
          <w:szCs w:val="24"/>
          <w:lang w:val="el-GR"/>
          <w14:ligatures w14:val="none"/>
        </w:rPr>
        <w:t>Core</w:t>
      </w:r>
      <w:proofErr w:type="spellEnd"/>
      <w:r w:rsidRPr="007A7BC6">
        <w:rPr>
          <w:rFonts w:ascii="Calibri" w:eastAsia="Calibri" w:hAnsi="Calibri" w:cs="Calibri"/>
          <w:bCs w:val="0"/>
          <w:kern w:val="0"/>
          <w:sz w:val="24"/>
          <w:szCs w:val="24"/>
          <w:lang w:val="el-GR"/>
          <w14:ligatures w14:val="none"/>
        </w:rPr>
        <w:t xml:space="preserve">, αλλά και η ταυτόχρονη επαναχρησιμοποίηση μεταξύ δικτύων </w:t>
      </w:r>
      <w:r w:rsidRPr="007A7BC6">
        <w:rPr>
          <w:rFonts w:ascii="Calibri" w:eastAsia="Calibri" w:hAnsi="Calibri" w:cs="Calibri"/>
          <w:bCs w:val="0"/>
          <w:kern w:val="0"/>
          <w:sz w:val="24"/>
          <w:szCs w:val="24"/>
          <w14:ligatures w14:val="none"/>
        </w:rPr>
        <w:t>D</w:t>
      </w:r>
      <w:proofErr w:type="spellStart"/>
      <w:r w:rsidRPr="007A7BC6">
        <w:rPr>
          <w:rFonts w:ascii="Calibri" w:eastAsia="Calibri" w:hAnsi="Calibri" w:cs="Calibri"/>
          <w:bCs w:val="0"/>
          <w:kern w:val="0"/>
          <w:sz w:val="24"/>
          <w:szCs w:val="24"/>
          <w:lang w:val="el-GR"/>
          <w14:ligatures w14:val="none"/>
        </w:rPr>
        <w:t>istribution</w:t>
      </w:r>
      <w:proofErr w:type="spellEnd"/>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Fe</w:t>
      </w:r>
      <w:proofErr w:type="spellStart"/>
      <w:r w:rsidRPr="007A7BC6">
        <w:rPr>
          <w:rFonts w:ascii="Calibri" w:eastAsia="Calibri" w:hAnsi="Calibri" w:cs="Calibri"/>
          <w:bCs w:val="0"/>
          <w:kern w:val="0"/>
          <w:sz w:val="24"/>
          <w:szCs w:val="24"/>
          <w:lang w:val="el-GR"/>
          <w14:ligatures w14:val="none"/>
        </w:rPr>
        <w:t>eder</w:t>
      </w:r>
      <w:proofErr w:type="spellEnd"/>
      <w:r w:rsidRPr="007A7BC6">
        <w:rPr>
          <w:rFonts w:ascii="Calibri" w:eastAsia="Calibri" w:hAnsi="Calibri" w:cs="Calibri"/>
          <w:bCs w:val="0"/>
          <w:kern w:val="0"/>
          <w:sz w:val="24"/>
          <w:szCs w:val="24"/>
          <w:lang w:val="el-GR"/>
          <w14:ligatures w14:val="none"/>
        </w:rPr>
        <w:t xml:space="preserve"> και </w:t>
      </w:r>
      <w:r w:rsidRPr="007A7BC6">
        <w:rPr>
          <w:rFonts w:ascii="Calibri" w:eastAsia="Calibri" w:hAnsi="Calibri" w:cs="Calibri"/>
          <w:bCs w:val="0"/>
          <w:kern w:val="0"/>
          <w:sz w:val="24"/>
          <w:szCs w:val="24"/>
          <w14:ligatures w14:val="none"/>
        </w:rPr>
        <w:t>C</w:t>
      </w:r>
      <w:proofErr w:type="spellStart"/>
      <w:r w:rsidRPr="007A7BC6">
        <w:rPr>
          <w:rFonts w:ascii="Calibri" w:eastAsia="Calibri" w:hAnsi="Calibri" w:cs="Calibri"/>
          <w:bCs w:val="0"/>
          <w:kern w:val="0"/>
          <w:sz w:val="24"/>
          <w:szCs w:val="24"/>
          <w:lang w:val="el-GR"/>
          <w14:ligatures w14:val="none"/>
        </w:rPr>
        <w:t>ore</w:t>
      </w:r>
      <w:proofErr w:type="spellEnd"/>
      <w:r w:rsidRPr="007A7BC6">
        <w:rPr>
          <w:rFonts w:ascii="Calibri" w:eastAsia="Calibri" w:hAnsi="Calibri" w:cs="Calibri"/>
          <w:bCs w:val="0"/>
          <w:kern w:val="0"/>
          <w:sz w:val="24"/>
          <w:szCs w:val="24"/>
          <w:lang w:val="el-GR"/>
          <w14:ligatures w14:val="none"/>
        </w:rPr>
        <w:t>, η χρήση ενός κοινού χαντακιού δεν είναι δυνατή.</w:t>
      </w:r>
    </w:p>
    <w:p w14:paraId="515A21B8" w14:textId="70EF9F14" w:rsidR="00B41C9C" w:rsidRPr="00073E36" w:rsidRDefault="00B41C9C" w:rsidP="007A7BC6">
      <w:pPr>
        <w:widowControl w:val="0"/>
        <w:autoSpaceDE w:val="0"/>
        <w:autoSpaceDN w:val="0"/>
        <w:spacing w:after="240" w:line="360" w:lineRule="atLeast"/>
        <w:ind w:left="0" w:right="0"/>
        <w:jc w:val="both"/>
        <w:rPr>
          <w:rFonts w:ascii="Calibri" w:eastAsia="Calibri" w:hAnsi="Calibri" w:cs="Calibri"/>
          <w:bCs w:val="0"/>
          <w:kern w:val="0"/>
          <w:sz w:val="24"/>
          <w:szCs w:val="24"/>
          <w14:ligatures w14:val="none"/>
        </w:rPr>
      </w:pPr>
      <w:r>
        <w:rPr>
          <w:rFonts w:ascii="Calibri" w:eastAsia="Calibri" w:hAnsi="Calibri" w:cs="Calibri"/>
          <w:bCs w:val="0"/>
          <w:kern w:val="0"/>
          <w:sz w:val="24"/>
          <w:szCs w:val="24"/>
          <w14:ligatures w14:val="none"/>
        </w:rPr>
        <w:sym w:font="Wingdings" w:char="F022"/>
      </w:r>
    </w:p>
    <w:p w14:paraId="33DC5B58"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Το ίδιο ισχύει και για την περίπτωση επαναχρησιμοποίηση του </w:t>
      </w:r>
      <w:r w:rsidRPr="007A7BC6">
        <w:rPr>
          <w:rFonts w:ascii="Calibri" w:eastAsia="Calibri" w:hAnsi="Calibri" w:cs="Calibri"/>
          <w:bCs w:val="0"/>
          <w:kern w:val="0"/>
          <w:sz w:val="24"/>
          <w:szCs w:val="24"/>
          <w14:ligatures w14:val="none"/>
        </w:rPr>
        <w:t>F</w:t>
      </w:r>
      <w:proofErr w:type="spellStart"/>
      <w:r w:rsidRPr="007A7BC6">
        <w:rPr>
          <w:rFonts w:ascii="Calibri" w:eastAsia="Calibri" w:hAnsi="Calibri" w:cs="Calibri"/>
          <w:bCs w:val="0"/>
          <w:kern w:val="0"/>
          <w:sz w:val="24"/>
          <w:szCs w:val="24"/>
          <w:lang w:val="el-GR"/>
          <w14:ligatures w14:val="none"/>
        </w:rPr>
        <w:t>eeder</w:t>
      </w:r>
      <w:proofErr w:type="spellEnd"/>
      <w:r w:rsidRPr="007A7BC6">
        <w:rPr>
          <w:rFonts w:ascii="Calibri" w:eastAsia="Calibri" w:hAnsi="Calibri" w:cs="Calibri"/>
          <w:bCs w:val="0"/>
          <w:kern w:val="0"/>
          <w:sz w:val="24"/>
          <w:szCs w:val="24"/>
          <w:lang w:val="el-GR"/>
          <w14:ligatures w14:val="none"/>
        </w:rPr>
        <w:t xml:space="preserve"> δικτύου της υποδομής χαλκού. Η υποδομή αυτή είναι εφικτό να επαναχρησιμοποιηθεί μόνο όπου δεν υπάρχει παράλληλα και </w:t>
      </w:r>
      <w:r w:rsidRPr="007A7BC6">
        <w:rPr>
          <w:rFonts w:ascii="Calibri" w:eastAsia="Calibri" w:hAnsi="Calibri" w:cs="Calibri"/>
          <w:bCs w:val="0"/>
          <w:kern w:val="0"/>
          <w:sz w:val="24"/>
          <w:szCs w:val="24"/>
          <w14:ligatures w14:val="none"/>
        </w:rPr>
        <w:t>FTTH</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Distribution</w:t>
      </w:r>
      <w:r w:rsidRPr="007A7BC6">
        <w:rPr>
          <w:rFonts w:ascii="Calibri" w:eastAsia="Calibri" w:hAnsi="Calibri" w:cs="Calibri"/>
          <w:bCs w:val="0"/>
          <w:kern w:val="0"/>
          <w:sz w:val="24"/>
          <w:szCs w:val="24"/>
          <w:lang w:val="el-GR"/>
          <w14:ligatures w14:val="none"/>
        </w:rPr>
        <w:t xml:space="preserve"> δίκτυο, το οποίο απαιτεί σημαντικά μεγαλύτερο αριθμό σωλήνων και </w:t>
      </w:r>
      <w:proofErr w:type="spellStart"/>
      <w:r w:rsidRPr="007A7BC6">
        <w:rPr>
          <w:rFonts w:ascii="Calibri" w:eastAsia="Calibri" w:hAnsi="Calibri" w:cs="Calibri"/>
          <w:bCs w:val="0"/>
          <w:kern w:val="0"/>
          <w:sz w:val="24"/>
          <w:szCs w:val="24"/>
          <w:lang w:val="el-GR"/>
          <w14:ligatures w14:val="none"/>
        </w:rPr>
        <w:t>μικροσωλήνιων</w:t>
      </w:r>
      <w:proofErr w:type="spellEnd"/>
      <w:r w:rsidRPr="007A7BC6">
        <w:rPr>
          <w:rFonts w:ascii="Calibri" w:eastAsia="Calibri" w:hAnsi="Calibri" w:cs="Calibri"/>
          <w:bCs w:val="0"/>
          <w:kern w:val="0"/>
          <w:sz w:val="24"/>
          <w:szCs w:val="24"/>
          <w:lang w:val="el-GR"/>
          <w14:ligatures w14:val="none"/>
        </w:rPr>
        <w:t>.</w:t>
      </w:r>
    </w:p>
    <w:p w14:paraId="27A92074"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Συμπερασματικά, για το </w:t>
      </w:r>
      <w:r w:rsidRPr="007A7BC6">
        <w:rPr>
          <w:rFonts w:ascii="Calibri" w:eastAsia="Calibri" w:hAnsi="Calibri" w:cs="Calibri"/>
          <w:bCs w:val="0"/>
          <w:kern w:val="0"/>
          <w:sz w:val="24"/>
          <w:szCs w:val="24"/>
          <w14:ligatures w14:val="none"/>
        </w:rPr>
        <w:t>Distribution</w:t>
      </w:r>
      <w:r w:rsidRPr="007A7BC6">
        <w:rPr>
          <w:rFonts w:ascii="Calibri" w:eastAsia="Calibri" w:hAnsi="Calibri" w:cs="Calibri"/>
          <w:bCs w:val="0"/>
          <w:kern w:val="0"/>
          <w:sz w:val="24"/>
          <w:szCs w:val="24"/>
          <w:lang w:val="el-GR"/>
          <w14:ligatures w14:val="none"/>
        </w:rPr>
        <w:t xml:space="preserve"> τμήμα του δικτύου </w:t>
      </w:r>
      <w:r w:rsidRPr="007A7BC6">
        <w:rPr>
          <w:rFonts w:ascii="Calibri" w:eastAsia="Calibri" w:hAnsi="Calibri" w:cs="Calibri"/>
          <w:bCs w:val="0"/>
          <w:kern w:val="0"/>
          <w:sz w:val="24"/>
          <w:szCs w:val="24"/>
          <w14:ligatures w14:val="none"/>
        </w:rPr>
        <w:t>FTTH</w:t>
      </w:r>
      <w:r w:rsidRPr="007A7BC6">
        <w:rPr>
          <w:rFonts w:ascii="Calibri" w:eastAsia="Calibri" w:hAnsi="Calibri" w:cs="Calibri"/>
          <w:bCs w:val="0"/>
          <w:kern w:val="0"/>
          <w:sz w:val="24"/>
          <w:szCs w:val="24"/>
          <w:lang w:val="el-GR"/>
          <w14:ligatures w14:val="none"/>
        </w:rPr>
        <w:t xml:space="preserve"> δεν είναι εφικτή η επαναχρησιμοποίηση υποδομής του δικτύου </w:t>
      </w:r>
      <w:r w:rsidRPr="007A7BC6">
        <w:rPr>
          <w:rFonts w:ascii="Calibri" w:eastAsia="Calibri" w:hAnsi="Calibri" w:cs="Calibri"/>
          <w:bCs w:val="0"/>
          <w:kern w:val="0"/>
          <w:sz w:val="24"/>
          <w:szCs w:val="24"/>
          <w14:ligatures w14:val="none"/>
        </w:rPr>
        <w:t>F</w:t>
      </w:r>
      <w:proofErr w:type="spellStart"/>
      <w:r w:rsidRPr="007A7BC6">
        <w:rPr>
          <w:rFonts w:ascii="Calibri" w:eastAsia="Calibri" w:hAnsi="Calibri" w:cs="Calibri"/>
          <w:bCs w:val="0"/>
          <w:kern w:val="0"/>
          <w:sz w:val="24"/>
          <w:szCs w:val="24"/>
          <w:lang w:val="el-GR"/>
          <w14:ligatures w14:val="none"/>
        </w:rPr>
        <w:t>eeder</w:t>
      </w:r>
      <w:proofErr w:type="spellEnd"/>
      <w:r w:rsidRPr="007A7BC6">
        <w:rPr>
          <w:rFonts w:ascii="Calibri" w:eastAsia="Calibri" w:hAnsi="Calibri" w:cs="Calibri"/>
          <w:bCs w:val="0"/>
          <w:kern w:val="0"/>
          <w:sz w:val="24"/>
          <w:szCs w:val="24"/>
          <w:lang w:val="el-GR"/>
          <w14:ligatures w14:val="none"/>
        </w:rPr>
        <w:t xml:space="preserve"> του χαλκού ή του </w:t>
      </w:r>
      <w:r w:rsidRPr="007A7BC6">
        <w:rPr>
          <w:rFonts w:ascii="Calibri" w:eastAsia="Calibri" w:hAnsi="Calibri" w:cs="Calibri"/>
          <w:bCs w:val="0"/>
          <w:kern w:val="0"/>
          <w:sz w:val="24"/>
          <w:szCs w:val="24"/>
          <w14:ligatures w14:val="none"/>
        </w:rPr>
        <w:t>C</w:t>
      </w:r>
      <w:proofErr w:type="spellStart"/>
      <w:r w:rsidRPr="007A7BC6">
        <w:rPr>
          <w:rFonts w:ascii="Calibri" w:eastAsia="Calibri" w:hAnsi="Calibri" w:cs="Calibri"/>
          <w:bCs w:val="0"/>
          <w:kern w:val="0"/>
          <w:sz w:val="24"/>
          <w:szCs w:val="24"/>
          <w:lang w:val="el-GR"/>
          <w14:ligatures w14:val="none"/>
        </w:rPr>
        <w:t>ore</w:t>
      </w:r>
      <w:proofErr w:type="spellEnd"/>
      <w:r w:rsidRPr="007A7BC6">
        <w:rPr>
          <w:rFonts w:ascii="Calibri" w:eastAsia="Calibri" w:hAnsi="Calibri" w:cs="Calibri"/>
          <w:bCs w:val="0"/>
          <w:kern w:val="0"/>
          <w:sz w:val="24"/>
          <w:szCs w:val="24"/>
          <w:lang w:val="el-GR"/>
          <w14:ligatures w14:val="none"/>
        </w:rPr>
        <w:t xml:space="preserve">. Επιπλέον, το κόστος της κοινής όδευσης μεταξύ </w:t>
      </w:r>
      <w:r w:rsidRPr="007A7BC6">
        <w:rPr>
          <w:rFonts w:ascii="Calibri" w:eastAsia="Calibri" w:hAnsi="Calibri" w:cs="Calibri"/>
          <w:bCs w:val="0"/>
          <w:kern w:val="0"/>
          <w:sz w:val="24"/>
          <w:szCs w:val="24"/>
          <w14:ligatures w14:val="none"/>
        </w:rPr>
        <w:t>Feeder</w:t>
      </w:r>
      <w:r w:rsidRPr="007A7BC6">
        <w:rPr>
          <w:rFonts w:ascii="Calibri" w:eastAsia="Calibri" w:hAnsi="Calibri" w:cs="Calibri"/>
          <w:bCs w:val="0"/>
          <w:kern w:val="0"/>
          <w:sz w:val="24"/>
          <w:szCs w:val="24"/>
          <w:lang w:val="el-GR"/>
          <w14:ligatures w14:val="none"/>
        </w:rPr>
        <w:t xml:space="preserve"> και </w:t>
      </w:r>
      <w:r w:rsidRPr="007A7BC6">
        <w:rPr>
          <w:rFonts w:ascii="Calibri" w:eastAsia="Calibri" w:hAnsi="Calibri" w:cs="Calibri"/>
          <w:bCs w:val="0"/>
          <w:kern w:val="0"/>
          <w:sz w:val="24"/>
          <w:szCs w:val="24"/>
          <w14:ligatures w14:val="none"/>
        </w:rPr>
        <w:t>Distribution</w:t>
      </w:r>
      <w:r w:rsidRPr="007A7BC6">
        <w:rPr>
          <w:rFonts w:ascii="Calibri" w:eastAsia="Calibri" w:hAnsi="Calibri" w:cs="Calibri"/>
          <w:bCs w:val="0"/>
          <w:kern w:val="0"/>
          <w:sz w:val="24"/>
          <w:szCs w:val="24"/>
          <w:lang w:val="el-GR"/>
          <w14:ligatures w14:val="none"/>
        </w:rPr>
        <w:t xml:space="preserve">, θα πρέπει να μοιράζεται μεταξύ των δύο αυτών δικτύων και όχι να κατανέμεται αποκλειστικά στο δίκτυο </w:t>
      </w:r>
      <w:r w:rsidRPr="007A7BC6">
        <w:rPr>
          <w:rFonts w:ascii="Calibri" w:eastAsia="Calibri" w:hAnsi="Calibri" w:cs="Calibri"/>
          <w:bCs w:val="0"/>
          <w:kern w:val="0"/>
          <w:sz w:val="24"/>
          <w:szCs w:val="24"/>
          <w14:ligatures w14:val="none"/>
        </w:rPr>
        <w:t>Feeder</w:t>
      </w:r>
      <w:r w:rsidRPr="007A7BC6">
        <w:rPr>
          <w:rFonts w:ascii="Calibri" w:eastAsia="Calibri" w:hAnsi="Calibri" w:cs="Calibri"/>
          <w:bCs w:val="0"/>
          <w:kern w:val="0"/>
          <w:sz w:val="24"/>
          <w:szCs w:val="24"/>
          <w:lang w:val="el-GR"/>
          <w14:ligatures w14:val="none"/>
        </w:rPr>
        <w:t xml:space="preserve">, όπως πραγματοποιεί στην τρέχουσα έκδοση του μοντέλου η ΕΕΤΤ. Τέλος σημειώνουμε ότι με βάση τις τιμές ανάπτυξης των σχετικών δικτύων, το </w:t>
      </w:r>
      <w:r w:rsidRPr="007A7BC6">
        <w:rPr>
          <w:rFonts w:ascii="Calibri" w:eastAsia="Calibri" w:hAnsi="Calibri" w:cs="Calibri"/>
          <w:bCs w:val="0"/>
          <w:kern w:val="0"/>
          <w:sz w:val="24"/>
          <w:szCs w:val="24"/>
          <w14:ligatures w14:val="none"/>
        </w:rPr>
        <w:t>distribution</w:t>
      </w:r>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δικτύο</w:t>
      </w:r>
      <w:proofErr w:type="spellEnd"/>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FTTH</w:t>
      </w:r>
      <w:r w:rsidRPr="007A7BC6">
        <w:rPr>
          <w:rFonts w:ascii="Calibri" w:eastAsia="Calibri" w:hAnsi="Calibri" w:cs="Calibri"/>
          <w:bCs w:val="0"/>
          <w:kern w:val="0"/>
          <w:sz w:val="24"/>
          <w:szCs w:val="24"/>
          <w:lang w:val="el-GR"/>
          <w14:ligatures w14:val="none"/>
        </w:rPr>
        <w:t xml:space="preserve"> έχει μεγαλύτερο </w:t>
      </w:r>
      <w:proofErr w:type="spellStart"/>
      <w:r w:rsidRPr="007A7BC6">
        <w:rPr>
          <w:rFonts w:ascii="Calibri" w:eastAsia="Calibri" w:hAnsi="Calibri" w:cs="Calibri"/>
          <w:bCs w:val="0"/>
          <w:kern w:val="0"/>
          <w:sz w:val="24"/>
          <w:szCs w:val="24"/>
          <w:lang w:val="el-GR"/>
          <w14:ligatures w14:val="none"/>
        </w:rPr>
        <w:t>ανηγμένο</w:t>
      </w:r>
      <w:proofErr w:type="spellEnd"/>
      <w:r w:rsidRPr="007A7BC6">
        <w:rPr>
          <w:rFonts w:ascii="Calibri" w:eastAsia="Calibri" w:hAnsi="Calibri" w:cs="Calibri"/>
          <w:bCs w:val="0"/>
          <w:kern w:val="0"/>
          <w:sz w:val="24"/>
          <w:szCs w:val="24"/>
          <w:lang w:val="el-GR"/>
          <w14:ligatures w14:val="none"/>
        </w:rPr>
        <w:t xml:space="preserve"> κόστος ανά μέτρο από το αντίστοιχο κόστος του </w:t>
      </w:r>
      <w:r w:rsidRPr="007A7BC6">
        <w:rPr>
          <w:rFonts w:ascii="Calibri" w:eastAsia="Calibri" w:hAnsi="Calibri" w:cs="Calibri"/>
          <w:bCs w:val="0"/>
          <w:kern w:val="0"/>
          <w:sz w:val="24"/>
          <w:szCs w:val="24"/>
          <w14:ligatures w14:val="none"/>
        </w:rPr>
        <w:t>feeder</w:t>
      </w:r>
      <w:r w:rsidRPr="007A7BC6">
        <w:rPr>
          <w:rFonts w:ascii="Calibri" w:eastAsia="Calibri" w:hAnsi="Calibri" w:cs="Calibri"/>
          <w:bCs w:val="0"/>
          <w:kern w:val="0"/>
          <w:sz w:val="24"/>
          <w:szCs w:val="24"/>
          <w:lang w:val="el-GR"/>
          <w14:ligatures w14:val="none"/>
        </w:rPr>
        <w:t xml:space="preserve"> δικτύου.</w:t>
      </w:r>
    </w:p>
    <w:p w14:paraId="1E4ED8AF" w14:textId="77777777" w:rsidR="007A7BC6" w:rsidRPr="007A7BC6" w:rsidRDefault="007A7BC6" w:rsidP="007A7BC6">
      <w:pPr>
        <w:keepNext/>
        <w:keepLines/>
        <w:widowControl w:val="0"/>
        <w:numPr>
          <w:ilvl w:val="1"/>
          <w:numId w:val="0"/>
        </w:numPr>
        <w:autoSpaceDE w:val="0"/>
        <w:autoSpaceDN w:val="0"/>
        <w:spacing w:before="160" w:after="80" w:line="360" w:lineRule="atLeast"/>
        <w:ind w:left="1080" w:right="0" w:hanging="360"/>
        <w:jc w:val="both"/>
        <w:outlineLvl w:val="2"/>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lang w:val="el-GR"/>
          <w14:ligatures w14:val="none"/>
        </w:rPr>
        <w:lastRenderedPageBreak/>
        <w:t xml:space="preserve">Επαναχρησιμοποίηση έργων υποδομής μεταξύ </w:t>
      </w:r>
      <w:r w:rsidRPr="007A7BC6">
        <w:rPr>
          <w:rFonts w:asciiTheme="majorHAnsi" w:eastAsiaTheme="majorEastAsia" w:hAnsiTheme="majorHAnsi" w:cstheme="majorBidi"/>
          <w:bCs w:val="0"/>
          <w:color w:val="0F4761" w:themeColor="accent1" w:themeShade="BF"/>
          <w:kern w:val="0"/>
          <w:sz w:val="28"/>
          <w:szCs w:val="28"/>
          <w14:ligatures w14:val="none"/>
        </w:rPr>
        <w:t>Feeder</w:t>
      </w: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 </w:t>
      </w:r>
      <w:r w:rsidRPr="007A7BC6">
        <w:rPr>
          <w:rFonts w:asciiTheme="majorHAnsi" w:eastAsiaTheme="majorEastAsia" w:hAnsiTheme="majorHAnsi" w:cstheme="majorBidi"/>
          <w:bCs w:val="0"/>
          <w:color w:val="0F4761" w:themeColor="accent1" w:themeShade="BF"/>
          <w:kern w:val="0"/>
          <w:sz w:val="28"/>
          <w:szCs w:val="28"/>
          <w14:ligatures w14:val="none"/>
        </w:rPr>
        <w:t>Distribution</w:t>
      </w: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 &amp; </w:t>
      </w:r>
      <w:r w:rsidRPr="007A7BC6">
        <w:rPr>
          <w:rFonts w:asciiTheme="majorHAnsi" w:eastAsiaTheme="majorEastAsia" w:hAnsiTheme="majorHAnsi" w:cstheme="majorBidi"/>
          <w:bCs w:val="0"/>
          <w:color w:val="0F4761" w:themeColor="accent1" w:themeShade="BF"/>
          <w:kern w:val="0"/>
          <w:sz w:val="28"/>
          <w:szCs w:val="28"/>
          <w14:ligatures w14:val="none"/>
        </w:rPr>
        <w:t>Core</w:t>
      </w: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 σε περιοχές που ο </w:t>
      </w:r>
      <w:proofErr w:type="spellStart"/>
      <w:r w:rsidRPr="007A7BC6">
        <w:rPr>
          <w:rFonts w:asciiTheme="majorHAnsi" w:eastAsiaTheme="majorEastAsia" w:hAnsiTheme="majorHAnsi" w:cstheme="majorBidi"/>
          <w:bCs w:val="0"/>
          <w:color w:val="0F4761" w:themeColor="accent1" w:themeShade="BF"/>
          <w:kern w:val="0"/>
          <w:sz w:val="28"/>
          <w:szCs w:val="28"/>
          <w:lang w:val="el-GR"/>
          <w14:ligatures w14:val="none"/>
        </w:rPr>
        <w:t>πάροχος</w:t>
      </w:r>
      <w:proofErr w:type="spellEnd"/>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 δικτύων χαλκού, </w:t>
      </w:r>
      <w:r w:rsidRPr="007A7BC6">
        <w:rPr>
          <w:rFonts w:asciiTheme="majorHAnsi" w:eastAsiaTheme="majorEastAsia" w:hAnsiTheme="majorHAnsi" w:cstheme="majorBidi"/>
          <w:bCs w:val="0"/>
          <w:color w:val="0F4761" w:themeColor="accent1" w:themeShade="BF"/>
          <w:kern w:val="0"/>
          <w:sz w:val="28"/>
          <w:szCs w:val="28"/>
          <w14:ligatures w14:val="none"/>
        </w:rPr>
        <w:t>FTTC</w:t>
      </w: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 ή </w:t>
      </w:r>
      <w:r w:rsidRPr="007A7BC6">
        <w:rPr>
          <w:rFonts w:asciiTheme="majorHAnsi" w:eastAsiaTheme="majorEastAsia" w:hAnsiTheme="majorHAnsi" w:cstheme="majorBidi"/>
          <w:bCs w:val="0"/>
          <w:color w:val="0F4761" w:themeColor="accent1" w:themeShade="BF"/>
          <w:kern w:val="0"/>
          <w:sz w:val="28"/>
          <w:szCs w:val="28"/>
          <w14:ligatures w14:val="none"/>
        </w:rPr>
        <w:t>FTTH</w:t>
      </w: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 είναι διαφορετικός </w:t>
      </w:r>
    </w:p>
    <w:p w14:paraId="7A11118F" w14:textId="7926CD00" w:rsidR="00B41C9C" w:rsidRPr="00CC4FBC" w:rsidRDefault="00B41C9C" w:rsidP="007A7BC6">
      <w:pPr>
        <w:widowControl w:val="0"/>
        <w:autoSpaceDE w:val="0"/>
        <w:autoSpaceDN w:val="0"/>
        <w:spacing w:after="0" w:line="360" w:lineRule="atLeast"/>
        <w:ind w:left="0" w:right="0"/>
        <w:jc w:val="both"/>
        <w:rPr>
          <w:rFonts w:ascii="Calibri" w:eastAsia="Calibri" w:hAnsi="Calibri" w:cs="Calibri"/>
          <w:bCs w:val="0"/>
          <w:kern w:val="0"/>
          <w:sz w:val="24"/>
          <w:szCs w:val="24"/>
          <w14:ligatures w14:val="none"/>
        </w:rPr>
      </w:pPr>
      <w:r w:rsidRPr="00CC4FBC">
        <w:rPr>
          <w:rFonts w:ascii="Calibri" w:eastAsia="Calibri" w:hAnsi="Calibri" w:cs="Calibri"/>
          <w:bCs w:val="0"/>
          <w:kern w:val="0"/>
          <w:sz w:val="24"/>
          <w:szCs w:val="24"/>
          <w14:ligatures w14:val="none"/>
        </w:rPr>
        <w:sym w:font="Wingdings" w:char="F022"/>
      </w:r>
    </w:p>
    <w:p w14:paraId="7A72DF60"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Στην περίπτωση αυτή η ΕΕΤΤ δεν θα έπρεπε να υπολογίσει επαναχρησιμοποίηση υποδομών.</w:t>
      </w:r>
    </w:p>
    <w:p w14:paraId="23F0707F" w14:textId="77777777" w:rsidR="007A7BC6" w:rsidRPr="007A7BC6" w:rsidRDefault="007A7BC6" w:rsidP="007A7BC6">
      <w:pPr>
        <w:keepNext/>
        <w:keepLines/>
        <w:widowControl w:val="0"/>
        <w:numPr>
          <w:ilvl w:val="1"/>
          <w:numId w:val="0"/>
        </w:numPr>
        <w:autoSpaceDE w:val="0"/>
        <w:autoSpaceDN w:val="0"/>
        <w:spacing w:before="160" w:after="80" w:line="360" w:lineRule="atLeast"/>
        <w:ind w:left="1080" w:right="0" w:hanging="360"/>
        <w:jc w:val="both"/>
        <w:outlineLvl w:val="2"/>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lang w:val="el-GR"/>
          <w14:ligatures w14:val="none"/>
        </w:rPr>
        <w:t>Υπολογισμός καλωδίων</w:t>
      </w:r>
    </w:p>
    <w:p w14:paraId="5A186D1C"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Το μοντέλο προσεγγίζει λανθασμένα τον μέσο αριθμό καλωδίων ανά τμήμα δικτύου, καθώς δεν λαμβάνει σωστά υπόψη τα μήκη που αντιστοιχούν στις επικαλύψεις μεταξύ διαφορετικών τμημάτων. Για τον ορθό υπολογισμό, ο συνολικός αριθμός καλωδίων θα πρέπει να διαιρείται με το πραγματικό συνολικό μήκος του δικτύου, συμπεριλαμβανομένου του μήκους που αφορά τις επικαλύψεις. </w:t>
      </w:r>
    </w:p>
    <w:p w14:paraId="761EB51E" w14:textId="77777777" w:rsidR="007A7BC6" w:rsidRPr="007A7BC6" w:rsidRDefault="007A7BC6" w:rsidP="007A7BC6">
      <w:pPr>
        <w:widowControl w:val="0"/>
        <w:autoSpaceDE w:val="0"/>
        <w:autoSpaceDN w:val="0"/>
        <w:spacing w:after="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Για να γίνει πιο σαφές, ας εξετάσουμε ένα παράδειγμα: Έστω μια περιοχή όπου:</w:t>
      </w:r>
    </w:p>
    <w:p w14:paraId="131739F6" w14:textId="77777777" w:rsidR="007A7BC6" w:rsidRPr="007A7BC6" w:rsidRDefault="007A7BC6" w:rsidP="00034FBB">
      <w:pPr>
        <w:widowControl w:val="0"/>
        <w:numPr>
          <w:ilvl w:val="0"/>
          <w:numId w:val="13"/>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το συνολικό μήκος του χαντακιού </w:t>
      </w:r>
      <w:proofErr w:type="spellStart"/>
      <w:r w:rsidRPr="007A7BC6">
        <w:rPr>
          <w:rFonts w:ascii="Calibri" w:eastAsia="Calibri" w:hAnsi="Calibri" w:cs="Calibri"/>
          <w:bCs w:val="0"/>
          <w:kern w:val="0"/>
          <w:sz w:val="24"/>
          <w:szCs w:val="24"/>
          <w:lang w:val="el-GR"/>
          <w14:ligatures w14:val="none"/>
        </w:rPr>
        <w:t>Distribution</w:t>
      </w:r>
      <w:proofErr w:type="spellEnd"/>
      <w:r w:rsidRPr="007A7BC6">
        <w:rPr>
          <w:rFonts w:ascii="Calibri" w:eastAsia="Calibri" w:hAnsi="Calibri" w:cs="Calibri"/>
          <w:bCs w:val="0"/>
          <w:kern w:val="0"/>
          <w:sz w:val="24"/>
          <w:szCs w:val="24"/>
          <w:lang w:val="el-GR"/>
          <w14:ligatures w14:val="none"/>
        </w:rPr>
        <w:t xml:space="preserve"> FTTH είναι 100 m,</w:t>
      </w:r>
    </w:p>
    <w:p w14:paraId="7D1741CB" w14:textId="77777777" w:rsidR="007A7BC6" w:rsidRPr="007A7BC6" w:rsidRDefault="007A7BC6" w:rsidP="00034FBB">
      <w:pPr>
        <w:widowControl w:val="0"/>
        <w:numPr>
          <w:ilvl w:val="0"/>
          <w:numId w:val="13"/>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από τα οποία 20 m είναι κοινό τμήμα με </w:t>
      </w:r>
      <w:proofErr w:type="spellStart"/>
      <w:r w:rsidRPr="007A7BC6">
        <w:rPr>
          <w:rFonts w:ascii="Calibri" w:eastAsia="Calibri" w:hAnsi="Calibri" w:cs="Calibri"/>
          <w:bCs w:val="0"/>
          <w:kern w:val="0"/>
          <w:sz w:val="24"/>
          <w:szCs w:val="24"/>
          <w:lang w:val="el-GR"/>
          <w14:ligatures w14:val="none"/>
        </w:rPr>
        <w:t>Feeder</w:t>
      </w:r>
      <w:proofErr w:type="spellEnd"/>
      <w:r w:rsidRPr="007A7BC6">
        <w:rPr>
          <w:rFonts w:ascii="Calibri" w:eastAsia="Calibri" w:hAnsi="Calibri" w:cs="Calibri"/>
          <w:bCs w:val="0"/>
          <w:kern w:val="0"/>
          <w:sz w:val="24"/>
          <w:szCs w:val="24"/>
          <w:lang w:val="el-GR"/>
          <w14:ligatures w14:val="none"/>
        </w:rPr>
        <w:t xml:space="preserve"> FTTH,</w:t>
      </w:r>
    </w:p>
    <w:p w14:paraId="00440821" w14:textId="77777777" w:rsidR="007A7BC6" w:rsidRPr="007A7BC6" w:rsidRDefault="007A7BC6" w:rsidP="00034FBB">
      <w:pPr>
        <w:widowControl w:val="0"/>
        <w:numPr>
          <w:ilvl w:val="0"/>
          <w:numId w:val="13"/>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και το κοινό κόστος του χαντακιού επιμερίζεται 50 %–50 % μεταξύ </w:t>
      </w:r>
      <w:proofErr w:type="spellStart"/>
      <w:r w:rsidRPr="007A7BC6">
        <w:rPr>
          <w:rFonts w:ascii="Calibri" w:eastAsia="Calibri" w:hAnsi="Calibri" w:cs="Calibri"/>
          <w:bCs w:val="0"/>
          <w:kern w:val="0"/>
          <w:sz w:val="24"/>
          <w:szCs w:val="24"/>
          <w:lang w:val="el-GR"/>
          <w14:ligatures w14:val="none"/>
        </w:rPr>
        <w:t>Distribution</w:t>
      </w:r>
      <w:proofErr w:type="spellEnd"/>
      <w:r w:rsidRPr="007A7BC6">
        <w:rPr>
          <w:rFonts w:ascii="Calibri" w:eastAsia="Calibri" w:hAnsi="Calibri" w:cs="Calibri"/>
          <w:bCs w:val="0"/>
          <w:kern w:val="0"/>
          <w:sz w:val="24"/>
          <w:szCs w:val="24"/>
          <w:lang w:val="el-GR"/>
          <w14:ligatures w14:val="none"/>
        </w:rPr>
        <w:t xml:space="preserve"> και </w:t>
      </w:r>
      <w:proofErr w:type="spellStart"/>
      <w:r w:rsidRPr="007A7BC6">
        <w:rPr>
          <w:rFonts w:ascii="Calibri" w:eastAsia="Calibri" w:hAnsi="Calibri" w:cs="Calibri"/>
          <w:bCs w:val="0"/>
          <w:kern w:val="0"/>
          <w:sz w:val="24"/>
          <w:szCs w:val="24"/>
          <w:lang w:val="el-GR"/>
          <w14:ligatures w14:val="none"/>
        </w:rPr>
        <w:t>Feeder</w:t>
      </w:r>
      <w:proofErr w:type="spellEnd"/>
      <w:r w:rsidRPr="007A7BC6">
        <w:rPr>
          <w:rFonts w:ascii="Calibri" w:eastAsia="Calibri" w:hAnsi="Calibri" w:cs="Calibri"/>
          <w:bCs w:val="0"/>
          <w:kern w:val="0"/>
          <w:sz w:val="24"/>
          <w:szCs w:val="24"/>
          <w:lang w:val="el-GR"/>
          <w14:ligatures w14:val="none"/>
        </w:rPr>
        <w:t>.</w:t>
      </w:r>
    </w:p>
    <w:p w14:paraId="4CF8855F" w14:textId="77777777" w:rsidR="007A7BC6" w:rsidRPr="007A7BC6" w:rsidRDefault="007A7BC6" w:rsidP="007A7BC6">
      <w:pPr>
        <w:widowControl w:val="0"/>
        <w:autoSpaceDE w:val="0"/>
        <w:autoSpaceDN w:val="0"/>
        <w:spacing w:after="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Στην περίπτωση αυτή:</w:t>
      </w:r>
    </w:p>
    <w:p w14:paraId="75216DDE" w14:textId="77777777" w:rsidR="007A7BC6" w:rsidRPr="007A7BC6" w:rsidRDefault="007A7BC6" w:rsidP="00034FBB">
      <w:pPr>
        <w:widowControl w:val="0"/>
        <w:numPr>
          <w:ilvl w:val="0"/>
          <w:numId w:val="13"/>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ο </w:t>
      </w:r>
      <w:proofErr w:type="spellStart"/>
      <w:r w:rsidRPr="007A7BC6">
        <w:rPr>
          <w:rFonts w:ascii="Calibri" w:eastAsia="Calibri" w:hAnsi="Calibri" w:cs="Calibri"/>
          <w:bCs w:val="0"/>
          <w:kern w:val="0"/>
          <w:sz w:val="24"/>
          <w:szCs w:val="24"/>
          <w:lang w:val="el-GR"/>
          <w14:ligatures w14:val="none"/>
        </w:rPr>
        <w:t>παρανομαστής</w:t>
      </w:r>
      <w:proofErr w:type="spellEnd"/>
      <w:r w:rsidRPr="007A7BC6">
        <w:rPr>
          <w:rFonts w:ascii="Calibri" w:eastAsia="Calibri" w:hAnsi="Calibri" w:cs="Calibri"/>
          <w:bCs w:val="0"/>
          <w:kern w:val="0"/>
          <w:sz w:val="24"/>
          <w:szCs w:val="24"/>
          <w:lang w:val="el-GR"/>
          <w14:ligatures w14:val="none"/>
        </w:rPr>
        <w:t xml:space="preserve"> για τον υπολογισμό του μέσου αριθμού καλωδίων ανά μέτρο χαντακιού </w:t>
      </w:r>
      <w:proofErr w:type="spellStart"/>
      <w:r w:rsidRPr="007A7BC6">
        <w:rPr>
          <w:rFonts w:ascii="Calibri" w:eastAsia="Calibri" w:hAnsi="Calibri" w:cs="Calibri"/>
          <w:bCs w:val="0"/>
          <w:kern w:val="0"/>
          <w:sz w:val="24"/>
          <w:szCs w:val="24"/>
          <w:lang w:val="el-GR"/>
          <w14:ligatures w14:val="none"/>
        </w:rPr>
        <w:t>Distribution</w:t>
      </w:r>
      <w:proofErr w:type="spellEnd"/>
      <w:r w:rsidRPr="007A7BC6">
        <w:rPr>
          <w:rFonts w:ascii="Calibri" w:eastAsia="Calibri" w:hAnsi="Calibri" w:cs="Calibri"/>
          <w:bCs w:val="0"/>
          <w:kern w:val="0"/>
          <w:sz w:val="24"/>
          <w:szCs w:val="24"/>
          <w:lang w:val="el-GR"/>
          <w14:ligatures w14:val="none"/>
        </w:rPr>
        <w:t xml:space="preserve"> πρέπει να είναι </w:t>
      </w:r>
      <m:oMath>
        <m:sSub>
          <m:sSubPr>
            <m:ctrlPr>
              <w:rPr>
                <w:rFonts w:ascii="Cambria Math" w:eastAsia="Calibri" w:hAnsi="Cambria Math" w:cs="Calibri"/>
                <w:bCs w:val="0"/>
                <w:kern w:val="0"/>
                <w:sz w:val="24"/>
                <w:szCs w:val="24"/>
                <w:lang w:val="el-GR"/>
                <w14:ligatures w14:val="none"/>
              </w:rPr>
            </m:ctrlPr>
          </m:sSubPr>
          <m:e>
            <m:r>
              <w:rPr>
                <w:rFonts w:ascii="Cambria Math" w:eastAsia="Calibri" w:hAnsi="Cambria Math" w:cs="Calibri"/>
                <w:kern w:val="0"/>
                <w:sz w:val="24"/>
                <w:szCs w:val="24"/>
                <w:lang w:val="el-GR"/>
                <w14:ligatures w14:val="none"/>
              </w:rPr>
              <m:t>L</m:t>
            </m:r>
          </m:e>
          <m:sub>
            <m:r>
              <m:rPr>
                <m:nor/>
              </m:rPr>
              <w:rPr>
                <w:rFonts w:ascii="Calibri" w:eastAsia="Calibri" w:hAnsi="Calibri" w:cs="Calibri"/>
                <w:bCs w:val="0"/>
                <w:kern w:val="0"/>
                <w:sz w:val="24"/>
                <w:szCs w:val="24"/>
                <w:lang w:val="el-GR"/>
                <w14:ligatures w14:val="none"/>
              </w:rPr>
              <m:t>Distribution</m:t>
            </m:r>
          </m:sub>
        </m:sSub>
        <m:r>
          <m:rPr>
            <m:sty m:val="p"/>
          </m:rPr>
          <w:rPr>
            <w:rFonts w:ascii="Cambria Math" w:eastAsia="Calibri" w:hAnsi="Cambria Math" w:cs="Calibri"/>
            <w:kern w:val="0"/>
            <w:sz w:val="24"/>
            <w:szCs w:val="24"/>
            <w:lang w:val="el-GR"/>
            <w14:ligatures w14:val="none"/>
          </w:rPr>
          <m:t>=100</m:t>
        </m:r>
        <m:r>
          <m:rPr>
            <m:nor/>
          </m:rPr>
          <w:rPr>
            <w:rFonts w:ascii="Calibri" w:eastAsia="Calibri" w:hAnsi="Calibri" w:cs="Calibri"/>
            <w:bCs w:val="0"/>
            <w:kern w:val="0"/>
            <w:sz w:val="24"/>
            <w:szCs w:val="24"/>
            <w:lang w:val="el-GR"/>
            <w14:ligatures w14:val="none"/>
          </w:rPr>
          <m:t> m</m:t>
        </m:r>
        <m:r>
          <m:rPr>
            <m:sty m:val="p"/>
          </m:rPr>
          <w:rPr>
            <w:rFonts w:ascii="Cambria Math" w:eastAsia="Calibri" w:hAnsi="Calibri" w:cs="Calibri"/>
            <w:kern w:val="0"/>
            <w:sz w:val="24"/>
            <w:szCs w:val="24"/>
            <w:lang w:val="el-GR"/>
            <w14:ligatures w14:val="none"/>
          </w:rPr>
          <m:t xml:space="preserve"> </m:t>
        </m:r>
      </m:oMath>
      <w:r w:rsidRPr="007A7BC6">
        <w:rPr>
          <w:rFonts w:ascii="Calibri" w:eastAsia="Calibri" w:hAnsi="Calibri" w:cs="Calibri"/>
          <w:bCs w:val="0"/>
          <w:kern w:val="0"/>
          <w:sz w:val="24"/>
          <w:szCs w:val="24"/>
          <w:lang w:val="el-GR"/>
          <w14:ligatures w14:val="none"/>
        </w:rPr>
        <w:t>και όχι 80 m ή 90 m,</w:t>
      </w:r>
    </w:p>
    <w:p w14:paraId="1E80DC81" w14:textId="77777777" w:rsidR="007A7BC6" w:rsidRPr="007A7BC6" w:rsidRDefault="007A7BC6" w:rsidP="00034FBB">
      <w:pPr>
        <w:widowControl w:val="0"/>
        <w:numPr>
          <w:ilvl w:val="0"/>
          <w:numId w:val="13"/>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διότι το μήκος του χαντακιού αντιπροσωπεύει τη φυσική κατασκευή, όχι το επιμερισμένο κόστος.</w:t>
      </w:r>
    </w:p>
    <w:p w14:paraId="50980845"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Η αντιμετώπιση του κοινού τμήματος ως μειωμένου μήκους (π.χ. 80 m) οδηγεί σε δημιουργία “σταθμισμένων μηκών” τα οποία δεν αντανακλούν το πραγματικό φυσικό μήκος και, συνεπώς, προκαλούν παραμόρφωση του υπολογισμού κόστους.</w:t>
      </w:r>
    </w:p>
    <w:p w14:paraId="73821CE0" w14:textId="77777777" w:rsidR="007A7BC6" w:rsidRPr="007A7BC6" w:rsidRDefault="007A7BC6" w:rsidP="007A7BC6">
      <w:pPr>
        <w:widowControl w:val="0"/>
        <w:autoSpaceDE w:val="0"/>
        <w:autoSpaceDN w:val="0"/>
        <w:spacing w:after="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Προτείνεται:</w:t>
      </w:r>
    </w:p>
    <w:p w14:paraId="619AA719" w14:textId="77777777" w:rsidR="007A7BC6" w:rsidRPr="007A7BC6" w:rsidRDefault="007A7BC6" w:rsidP="00034FBB">
      <w:pPr>
        <w:widowControl w:val="0"/>
        <w:numPr>
          <w:ilvl w:val="0"/>
          <w:numId w:val="13"/>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να διαχωρίζεται σαφώς το φυσικό μήκος των τμημάτων του δικτύου από</w:t>
      </w:r>
      <w:r w:rsidRPr="007A7BC6">
        <w:rPr>
          <w:rFonts w:ascii="Calibri" w:eastAsia="Calibri" w:hAnsi="Calibri" w:cs="Calibri"/>
          <w:bCs w:val="0"/>
          <w:kern w:val="0"/>
          <w:sz w:val="24"/>
          <w:szCs w:val="24"/>
          <w:lang w:val="el-GR"/>
          <w14:ligatures w14:val="none"/>
        </w:rPr>
        <w:br/>
        <w:t>το μήκος των χαντακιών που χρησιμοποιούνται στον υπολογισμό κόστους, και</w:t>
      </w:r>
    </w:p>
    <w:p w14:paraId="05094F50" w14:textId="77777777" w:rsidR="007A7BC6" w:rsidRPr="007A7BC6" w:rsidRDefault="007A7BC6" w:rsidP="00034FBB">
      <w:pPr>
        <w:widowControl w:val="0"/>
        <w:numPr>
          <w:ilvl w:val="0"/>
          <w:numId w:val="13"/>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να υπολογίζεται το συνολικό κόστος χαντακιών ανά περιοχή βάσει των πραγματικών φυσικών μηκών, ανεξάρτητα από τον τρόπο επιμερισμού του κόστους.</w:t>
      </w:r>
    </w:p>
    <w:p w14:paraId="513472BF" w14:textId="3E38D7AB"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Τέλος θα θέλαμε να διευκρινιστεί με ποιο τρόπο υπολογίστηκε το </w:t>
      </w:r>
      <w:proofErr w:type="spellStart"/>
      <w:r w:rsidRPr="007A7BC6">
        <w:rPr>
          <w:rFonts w:ascii="Calibri" w:eastAsia="Calibri" w:hAnsi="Calibri" w:cs="Calibri"/>
          <w:bCs w:val="0"/>
          <w:kern w:val="0"/>
          <w:sz w:val="24"/>
          <w:szCs w:val="24"/>
          <w:lang w:val="el-GR"/>
          <w14:ligatures w14:val="none"/>
        </w:rPr>
        <w:t>Average</w:t>
      </w:r>
      <w:proofErr w:type="spellEnd"/>
      <w:r w:rsidRPr="007A7BC6">
        <w:rPr>
          <w:rFonts w:ascii="Calibri" w:eastAsia="Calibri" w:hAnsi="Calibri" w:cs="Calibri"/>
          <w:bCs w:val="0"/>
          <w:kern w:val="0"/>
          <w:sz w:val="24"/>
          <w:szCs w:val="24"/>
          <w:lang w:val="el-GR"/>
          <w14:ligatures w14:val="none"/>
        </w:rPr>
        <w:t xml:space="preserve"> LLU </w:t>
      </w:r>
      <w:proofErr w:type="spellStart"/>
      <w:r w:rsidRPr="007A7BC6">
        <w:rPr>
          <w:rFonts w:ascii="Calibri" w:eastAsia="Calibri" w:hAnsi="Calibri" w:cs="Calibri"/>
          <w:bCs w:val="0"/>
          <w:kern w:val="0"/>
          <w:sz w:val="24"/>
          <w:szCs w:val="24"/>
          <w:lang w:val="el-GR"/>
          <w14:ligatures w14:val="none"/>
        </w:rPr>
        <w:t>distance</w:t>
      </w:r>
      <w:proofErr w:type="spellEnd"/>
      <w:r w:rsidRPr="007A7BC6">
        <w:rPr>
          <w:rFonts w:ascii="Calibri" w:eastAsia="Calibri" w:hAnsi="Calibri" w:cs="Calibri"/>
          <w:bCs w:val="0"/>
          <w:kern w:val="0"/>
          <w:sz w:val="24"/>
          <w:szCs w:val="24"/>
          <w:lang w:val="el-GR"/>
          <w14:ligatures w14:val="none"/>
        </w:rPr>
        <w:t xml:space="preserve"> (m). </w:t>
      </w:r>
      <w:r w:rsidR="0049204B">
        <w:rPr>
          <w:rFonts w:ascii="Calibri" w:eastAsia="Calibri" w:hAnsi="Calibri" w:cs="Calibri"/>
          <w:bCs w:val="0"/>
          <w:kern w:val="0"/>
          <w:sz w:val="24"/>
          <w:szCs w:val="24"/>
          <w:lang w:val="el-GR"/>
          <w14:ligatures w14:val="none"/>
        </w:rPr>
        <w:sym w:font="Wingdings" w:char="F022"/>
      </w:r>
      <w:r w:rsidR="0049204B" w:rsidRPr="00073E36">
        <w:rPr>
          <w:rFonts w:ascii="Calibri" w:eastAsia="Calibri" w:hAnsi="Calibri" w:cs="Calibri"/>
          <w:bCs w:val="0"/>
          <w:kern w:val="0"/>
          <w:sz w:val="24"/>
          <w:szCs w:val="24"/>
          <w:lang w:val="el-GR"/>
          <w14:ligatures w14:val="none"/>
        </w:rPr>
        <w:t xml:space="preserve"> </w:t>
      </w:r>
    </w:p>
    <w:p w14:paraId="6422FC8D" w14:textId="77777777" w:rsidR="007A7BC6" w:rsidRPr="007A7BC6" w:rsidRDefault="007A7BC6" w:rsidP="007A7BC6">
      <w:pPr>
        <w:keepNext/>
        <w:keepLines/>
        <w:widowControl w:val="0"/>
        <w:numPr>
          <w:ilvl w:val="1"/>
          <w:numId w:val="0"/>
        </w:numPr>
        <w:autoSpaceDE w:val="0"/>
        <w:autoSpaceDN w:val="0"/>
        <w:spacing w:before="160" w:after="80" w:line="360" w:lineRule="atLeast"/>
        <w:ind w:left="1080" w:right="0" w:hanging="360"/>
        <w:jc w:val="both"/>
        <w:outlineLvl w:val="2"/>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Σχόλια επί του γεωγραφικού μοντέλου </w:t>
      </w:r>
    </w:p>
    <w:p w14:paraId="2D3F8E08"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Όσον αφορά το γεωγραφικό μοντέλο, πραγματοποιήσαμε αναλυτικό έλεγχο των αποτελεσμάτων, </w:t>
      </w:r>
      <w:r w:rsidRPr="007A7BC6">
        <w:rPr>
          <w:rFonts w:ascii="Calibri" w:eastAsia="Calibri" w:hAnsi="Calibri" w:cs="Calibri"/>
          <w:bCs w:val="0"/>
          <w:kern w:val="0"/>
          <w:sz w:val="24"/>
          <w:szCs w:val="24"/>
          <w:lang w:val="el-GR"/>
          <w14:ligatures w14:val="none"/>
        </w:rPr>
        <w:lastRenderedPageBreak/>
        <w:t xml:space="preserve">δεδομένου ότι δεν είναι εφικτή η άμεση δοκιμή του ίδιου του μοντέλου. Η ανάλυση ανέδειξε ορισμένες ασυμφωνίες που δημιουργούν αμφιβολίες ως προς την ορθότητα των αποτελεσμάτων του </w:t>
      </w:r>
      <w:proofErr w:type="spellStart"/>
      <w:r w:rsidRPr="007A7BC6">
        <w:rPr>
          <w:rFonts w:ascii="Calibri" w:eastAsia="Calibri" w:hAnsi="Calibri" w:cs="Calibri"/>
          <w:bCs w:val="0"/>
          <w:kern w:val="0"/>
          <w:sz w:val="24"/>
          <w:szCs w:val="24"/>
          <w:lang w:val="el-GR"/>
          <w14:ligatures w14:val="none"/>
        </w:rPr>
        <w:t>bottom-up</w:t>
      </w:r>
      <w:proofErr w:type="spellEnd"/>
      <w:r w:rsidRPr="007A7BC6">
        <w:rPr>
          <w:rFonts w:ascii="Calibri" w:eastAsia="Calibri" w:hAnsi="Calibri" w:cs="Calibri"/>
          <w:bCs w:val="0"/>
          <w:kern w:val="0"/>
          <w:sz w:val="24"/>
          <w:szCs w:val="24"/>
          <w:lang w:val="el-GR"/>
          <w14:ligatures w14:val="none"/>
        </w:rPr>
        <w:t xml:space="preserve"> LRIC+ μοντέλου της Επιτροπής. Η πλήρης ανάλυση παρατίθεται στο Παράρτημα ΙΙΙ. Συνοπτικά, τα κυριότερα ζητήματα που εντοπίστηκαν αφορούν:</w:t>
      </w:r>
    </w:p>
    <w:p w14:paraId="7A389674" w14:textId="685814B8" w:rsidR="007A7BC6" w:rsidRPr="007A7BC6" w:rsidRDefault="007A7BC6" w:rsidP="00034FBB">
      <w:pPr>
        <w:widowControl w:val="0"/>
        <w:numPr>
          <w:ilvl w:val="0"/>
          <w:numId w:val="19"/>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Τα μήκη των καλωδίων χαλκού στο </w:t>
      </w:r>
      <w:proofErr w:type="spellStart"/>
      <w:r w:rsidRPr="007A7BC6">
        <w:rPr>
          <w:rFonts w:ascii="Calibri" w:eastAsia="Calibri" w:hAnsi="Calibri" w:cs="Calibri"/>
          <w:bCs w:val="0"/>
          <w:kern w:val="0"/>
          <w:sz w:val="24"/>
          <w:szCs w:val="24"/>
          <w:lang w:val="el-GR"/>
          <w14:ligatures w14:val="none"/>
        </w:rPr>
        <w:t>feeder</w:t>
      </w:r>
      <w:proofErr w:type="spellEnd"/>
      <w:r w:rsidRPr="007A7BC6">
        <w:rPr>
          <w:rFonts w:ascii="Calibri" w:eastAsia="Calibri" w:hAnsi="Calibri" w:cs="Calibri"/>
          <w:bCs w:val="0"/>
          <w:kern w:val="0"/>
          <w:sz w:val="24"/>
          <w:szCs w:val="24"/>
          <w:lang w:val="el-GR"/>
          <w14:ligatures w14:val="none"/>
        </w:rPr>
        <w:t xml:space="preserve"> δίκτυο υποεκτιμώνται. Ως αποτέλεσμα το μοντέλο φτάνει στο εσφαλμένο συμπέρασμα ότι κατά μέσο όρο σε κάθε χαντάκι χαλκού στο </w:t>
      </w:r>
      <w:proofErr w:type="spellStart"/>
      <w:r w:rsidRPr="007A7BC6">
        <w:rPr>
          <w:rFonts w:ascii="Calibri" w:eastAsia="Calibri" w:hAnsi="Calibri" w:cs="Calibri"/>
          <w:bCs w:val="0"/>
          <w:kern w:val="0"/>
          <w:sz w:val="24"/>
          <w:szCs w:val="24"/>
          <w:lang w:val="el-GR"/>
          <w14:ligatures w14:val="none"/>
        </w:rPr>
        <w:t>feeder</w:t>
      </w:r>
      <w:proofErr w:type="spellEnd"/>
      <w:r w:rsidRPr="007A7BC6">
        <w:rPr>
          <w:rFonts w:ascii="Calibri" w:eastAsia="Calibri" w:hAnsi="Calibri" w:cs="Calibri"/>
          <w:bCs w:val="0"/>
          <w:kern w:val="0"/>
          <w:sz w:val="24"/>
          <w:szCs w:val="24"/>
          <w:lang w:val="el-GR"/>
          <w14:ligatures w14:val="none"/>
        </w:rPr>
        <w:t xml:space="preserve"> είναι εγκατεστημένα</w:t>
      </w:r>
      <w:r w:rsidR="0049204B" w:rsidRPr="00073E36">
        <w:rPr>
          <w:rFonts w:ascii="Calibri" w:eastAsia="Calibri" w:hAnsi="Calibri" w:cs="Calibri"/>
          <w:bCs w:val="0"/>
          <w:kern w:val="0"/>
          <w:sz w:val="24"/>
          <w:szCs w:val="24"/>
          <w:lang w:val="el-GR"/>
          <w14:ligatures w14:val="none"/>
        </w:rPr>
        <w:t xml:space="preserve"> </w:t>
      </w:r>
      <w:r w:rsidR="0049204B">
        <w:rPr>
          <w:rFonts w:ascii="Calibri" w:eastAsia="Calibri" w:hAnsi="Calibri" w:cs="Calibri"/>
          <w:bCs w:val="0"/>
          <w:kern w:val="0"/>
          <w:sz w:val="24"/>
          <w:szCs w:val="24"/>
          <w:lang w:val="el-GR"/>
          <w14:ligatures w14:val="none"/>
        </w:rPr>
        <w:sym w:font="Wingdings" w:char="F022"/>
      </w:r>
      <w:r w:rsidRPr="007A7BC6">
        <w:rPr>
          <w:rFonts w:ascii="Calibri" w:eastAsia="Calibri" w:hAnsi="Calibri" w:cs="Calibri"/>
          <w:bCs w:val="0"/>
          <w:kern w:val="0"/>
          <w:sz w:val="24"/>
          <w:szCs w:val="24"/>
          <w:lang w:val="el-GR"/>
          <w14:ligatures w14:val="none"/>
        </w:rPr>
        <w:t>, δηλαδή ότι υπάρχουν χαντάκια χωρίς να αντιστοιχούν καλώδια σε αυτά!</w:t>
      </w:r>
    </w:p>
    <w:p w14:paraId="67F0E044" w14:textId="335E0000" w:rsidR="007A7BC6" w:rsidRPr="007A7BC6" w:rsidRDefault="007A7BC6" w:rsidP="00034FBB">
      <w:pPr>
        <w:widowControl w:val="0"/>
        <w:numPr>
          <w:ilvl w:val="0"/>
          <w:numId w:val="19"/>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Το μοντέλο βασίζεται στην εσφαλμένη υπόθεση ότι στο </w:t>
      </w:r>
      <w:proofErr w:type="spellStart"/>
      <w:r w:rsidRPr="007A7BC6">
        <w:rPr>
          <w:rFonts w:ascii="Calibri" w:eastAsia="Calibri" w:hAnsi="Calibri" w:cs="Calibri"/>
          <w:bCs w:val="0"/>
          <w:kern w:val="0"/>
          <w:sz w:val="24"/>
          <w:szCs w:val="24"/>
          <w:lang w:val="el-GR"/>
          <w14:ligatures w14:val="none"/>
        </w:rPr>
        <w:t>distribution</w:t>
      </w:r>
      <w:proofErr w:type="spellEnd"/>
      <w:r w:rsidRPr="007A7BC6">
        <w:rPr>
          <w:rFonts w:ascii="Calibri" w:eastAsia="Calibri" w:hAnsi="Calibri" w:cs="Calibri"/>
          <w:bCs w:val="0"/>
          <w:kern w:val="0"/>
          <w:sz w:val="24"/>
          <w:szCs w:val="24"/>
          <w:lang w:val="el-GR"/>
          <w14:ligatures w14:val="none"/>
        </w:rPr>
        <w:t xml:space="preserve"> δίκτυο χαλκού εγκαθίσταται μόνο ένα καλώδιο ανά χαντάκι, από το οποίο </w:t>
      </w:r>
      <w:proofErr w:type="spellStart"/>
      <w:r w:rsidR="00DE0147">
        <w:rPr>
          <w:rFonts w:ascii="Calibri" w:eastAsia="Calibri" w:hAnsi="Calibri" w:cs="Calibri"/>
          <w:bCs w:val="0"/>
          <w:kern w:val="0"/>
          <w:sz w:val="24"/>
          <w:szCs w:val="24"/>
          <w:lang w:val="el-GR"/>
          <w14:ligatures w14:val="none"/>
        </w:rPr>
        <w:t>απομαστεύ</w:t>
      </w:r>
      <w:r w:rsidRPr="007A7BC6">
        <w:rPr>
          <w:rFonts w:ascii="Calibri" w:eastAsia="Calibri" w:hAnsi="Calibri" w:cs="Calibri"/>
          <w:bCs w:val="0"/>
          <w:kern w:val="0"/>
          <w:sz w:val="24"/>
          <w:szCs w:val="24"/>
          <w:lang w:val="el-GR"/>
          <w14:ligatures w14:val="none"/>
        </w:rPr>
        <w:t>ονται</w:t>
      </w:r>
      <w:proofErr w:type="spellEnd"/>
      <w:r w:rsidRPr="007A7BC6">
        <w:rPr>
          <w:rFonts w:ascii="Calibri" w:eastAsia="Calibri" w:hAnsi="Calibri" w:cs="Calibri"/>
          <w:bCs w:val="0"/>
          <w:kern w:val="0"/>
          <w:sz w:val="24"/>
          <w:szCs w:val="24"/>
          <w:lang w:val="el-GR"/>
          <w14:ligatures w14:val="none"/>
        </w:rPr>
        <w:t xml:space="preserve"> σταδιακά χάλκινα ζεύγη για την τροφοδότηση των κτιρίων. Η παραδοχή αυτή δεν αντανακλά την πρακτική ενός αποδοτικού </w:t>
      </w:r>
      <w:proofErr w:type="spellStart"/>
      <w:r w:rsidRPr="007A7BC6">
        <w:rPr>
          <w:rFonts w:ascii="Calibri" w:eastAsia="Calibri" w:hAnsi="Calibri" w:cs="Calibri"/>
          <w:bCs w:val="0"/>
          <w:kern w:val="0"/>
          <w:sz w:val="24"/>
          <w:szCs w:val="24"/>
          <w:lang w:val="el-GR"/>
          <w14:ligatures w14:val="none"/>
        </w:rPr>
        <w:t>παρόχου</w:t>
      </w:r>
      <w:proofErr w:type="spellEnd"/>
      <w:r w:rsidRPr="007A7BC6">
        <w:rPr>
          <w:rFonts w:ascii="Calibri" w:eastAsia="Calibri" w:hAnsi="Calibri" w:cs="Calibri"/>
          <w:bCs w:val="0"/>
          <w:kern w:val="0"/>
          <w:sz w:val="24"/>
          <w:szCs w:val="24"/>
          <w:lang w:val="el-GR"/>
          <w14:ligatures w14:val="none"/>
        </w:rPr>
        <w:t>, καθώς στην πράξη απαιτείται μεγαλύτερος αριθμός καλωδίων —περίπου ένα ανά κτίριο ή ανά δύο κτίρια.</w:t>
      </w:r>
    </w:p>
    <w:p w14:paraId="1ED881EC" w14:textId="77777777" w:rsidR="007A7BC6" w:rsidRPr="007A7BC6" w:rsidRDefault="007A7BC6" w:rsidP="00034FBB">
      <w:pPr>
        <w:widowControl w:val="0"/>
        <w:numPr>
          <w:ilvl w:val="0"/>
          <w:numId w:val="19"/>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Στο </w:t>
      </w:r>
      <w:proofErr w:type="spellStart"/>
      <w:r w:rsidRPr="007A7BC6">
        <w:rPr>
          <w:rFonts w:ascii="Calibri" w:eastAsia="Calibri" w:hAnsi="Calibri" w:cs="Calibri"/>
          <w:bCs w:val="0"/>
          <w:kern w:val="0"/>
          <w:sz w:val="24"/>
          <w:szCs w:val="24"/>
          <w:lang w:val="el-GR"/>
          <w14:ligatures w14:val="none"/>
        </w:rPr>
        <w:t>feeder</w:t>
      </w:r>
      <w:proofErr w:type="spellEnd"/>
      <w:r w:rsidRPr="007A7BC6">
        <w:rPr>
          <w:rFonts w:ascii="Calibri" w:eastAsia="Calibri" w:hAnsi="Calibri" w:cs="Calibri"/>
          <w:bCs w:val="0"/>
          <w:kern w:val="0"/>
          <w:sz w:val="24"/>
          <w:szCs w:val="24"/>
          <w:lang w:val="el-GR"/>
          <w14:ligatures w14:val="none"/>
        </w:rPr>
        <w:t xml:space="preserve"> δίκτυο, το μοντέλο συγκεντρώνει τα καλώδια χαλκού υπερβολικά γρήγορα σε λίγα, πολύ μεγάλα καλώδια, με αποτέλεσμα ο μέσος όρος να αποτυπώνει έναν ανεπαρκή αριθμό πολύ μεγάλων καλωδίων. Στην πράξη, αυτή η διαμόρφωση παρατηρείται μόνο σε περιορισμένο τμήμα κοντά στο Α/Κ, σε αντίθεση με ό,τι υποδηλώνουν οι μέσοι όροι που προκύπτουν από το γεωγραφικό μοντέλο.</w:t>
      </w:r>
    </w:p>
    <w:p w14:paraId="72FCFFD1" w14:textId="4C0315E1" w:rsidR="007A7BC6" w:rsidRPr="00CC4FBC" w:rsidRDefault="007A7BC6" w:rsidP="00034FBB">
      <w:pPr>
        <w:widowControl w:val="0"/>
        <w:numPr>
          <w:ilvl w:val="0"/>
          <w:numId w:val="19"/>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CC4FBC">
        <w:rPr>
          <w:rFonts w:ascii="Calibri" w:eastAsia="Calibri" w:hAnsi="Calibri" w:cs="Calibri"/>
          <w:bCs w:val="0"/>
          <w:kern w:val="0"/>
          <w:sz w:val="24"/>
          <w:szCs w:val="24"/>
          <w:lang w:val="el-GR"/>
          <w14:ligatures w14:val="none"/>
        </w:rPr>
        <w:t xml:space="preserve">Στο δίκτυο FTTC και Copper </w:t>
      </w:r>
      <w:proofErr w:type="spellStart"/>
      <w:r w:rsidRPr="00CC4FBC">
        <w:rPr>
          <w:rFonts w:ascii="Calibri" w:eastAsia="Calibri" w:hAnsi="Calibri" w:cs="Calibri"/>
          <w:bCs w:val="0"/>
          <w:kern w:val="0"/>
          <w:sz w:val="24"/>
          <w:szCs w:val="24"/>
          <w:lang w:val="el-GR"/>
          <w14:ligatures w14:val="none"/>
        </w:rPr>
        <w:t>Subsidy</w:t>
      </w:r>
      <w:proofErr w:type="spellEnd"/>
      <w:r w:rsidRPr="00CC4FBC">
        <w:rPr>
          <w:rFonts w:ascii="Calibri" w:eastAsia="Calibri" w:hAnsi="Calibri" w:cs="Calibri"/>
          <w:bCs w:val="0"/>
          <w:kern w:val="0"/>
          <w:sz w:val="24"/>
          <w:szCs w:val="24"/>
          <w:lang w:val="el-GR"/>
          <w14:ligatures w14:val="none"/>
        </w:rPr>
        <w:t xml:space="preserve"> το μήκος χαντακιού ανά καμπίνα είναι πολύ μικρό, </w:t>
      </w:r>
      <w:r w:rsidR="0049204B" w:rsidRPr="00CC4FBC">
        <w:rPr>
          <w:rFonts w:ascii="Calibri" w:eastAsia="Calibri" w:hAnsi="Calibri" w:cs="Calibri"/>
          <w:bCs w:val="0"/>
          <w:kern w:val="0"/>
          <w:sz w:val="24"/>
          <w:szCs w:val="24"/>
          <w:lang w:val="el-GR"/>
          <w14:ligatures w14:val="none"/>
        </w:rPr>
        <w:sym w:font="Wingdings" w:char="F022"/>
      </w:r>
      <w:r w:rsidRPr="00CC4FBC">
        <w:rPr>
          <w:rFonts w:ascii="Calibri" w:eastAsia="Calibri" w:hAnsi="Calibri" w:cs="Calibri"/>
          <w:bCs w:val="0"/>
          <w:kern w:val="0"/>
          <w:sz w:val="24"/>
          <w:szCs w:val="24"/>
          <w:lang w:val="el-GR"/>
          <w14:ligatures w14:val="none"/>
        </w:rPr>
        <w:t xml:space="preserve">. Αυτό σημαίνει π.χ. στην περίπτωση του Copper </w:t>
      </w:r>
      <w:proofErr w:type="spellStart"/>
      <w:r w:rsidRPr="00CC4FBC">
        <w:rPr>
          <w:rFonts w:ascii="Calibri" w:eastAsia="Calibri" w:hAnsi="Calibri" w:cs="Calibri"/>
          <w:bCs w:val="0"/>
          <w:kern w:val="0"/>
          <w:sz w:val="24"/>
          <w:szCs w:val="24"/>
          <w:lang w:val="el-GR"/>
          <w14:ligatures w14:val="none"/>
        </w:rPr>
        <w:t>Subsidy</w:t>
      </w:r>
      <w:proofErr w:type="spellEnd"/>
      <w:r w:rsidRPr="00CC4FBC">
        <w:rPr>
          <w:rFonts w:ascii="Calibri" w:eastAsia="Calibri" w:hAnsi="Calibri" w:cs="Calibri"/>
          <w:bCs w:val="0"/>
          <w:kern w:val="0"/>
          <w:sz w:val="24"/>
          <w:szCs w:val="24"/>
          <w:lang w:val="el-GR"/>
          <w14:ligatures w14:val="none"/>
        </w:rPr>
        <w:t xml:space="preserve">, ότι κατά μέσο όρο συναντά κανείς περπατώντας το χαντάκι του </w:t>
      </w:r>
      <w:proofErr w:type="spellStart"/>
      <w:r w:rsidRPr="00CC4FBC">
        <w:rPr>
          <w:rFonts w:ascii="Calibri" w:eastAsia="Calibri" w:hAnsi="Calibri" w:cs="Calibri"/>
          <w:bCs w:val="0"/>
          <w:kern w:val="0"/>
          <w:sz w:val="24"/>
          <w:szCs w:val="24"/>
          <w:lang w:val="el-GR"/>
          <w14:ligatures w14:val="none"/>
        </w:rPr>
        <w:t>feeder</w:t>
      </w:r>
      <w:proofErr w:type="spellEnd"/>
      <w:r w:rsidRPr="00CC4FBC">
        <w:rPr>
          <w:rFonts w:ascii="Calibri" w:eastAsia="Calibri" w:hAnsi="Calibri" w:cs="Calibri"/>
          <w:bCs w:val="0"/>
          <w:kern w:val="0"/>
          <w:sz w:val="24"/>
          <w:szCs w:val="24"/>
          <w:lang w:val="el-GR"/>
          <w14:ligatures w14:val="none"/>
        </w:rPr>
        <w:t xml:space="preserve"> δικτύου μία καμπίνα χαλκού ανά</w:t>
      </w:r>
      <w:r w:rsidR="00CC4FBC" w:rsidRPr="00CC4FBC">
        <w:rPr>
          <w:rFonts w:ascii="Calibri" w:eastAsia="Calibri" w:hAnsi="Calibri" w:cs="Calibri"/>
          <w:bCs w:val="0"/>
          <w:kern w:val="0"/>
          <w:sz w:val="24"/>
          <w:szCs w:val="24"/>
          <w:lang w:val="el-GR"/>
          <w14:ligatures w14:val="none"/>
        </w:rPr>
        <w:t xml:space="preserve"> </w:t>
      </w:r>
      <w:r w:rsidR="0049204B" w:rsidRPr="00CC4FBC">
        <w:rPr>
          <w:rFonts w:ascii="Calibri" w:eastAsia="Calibri" w:hAnsi="Calibri" w:cs="Calibri"/>
          <w:bCs w:val="0"/>
          <w:kern w:val="0"/>
          <w:sz w:val="24"/>
          <w:szCs w:val="24"/>
          <w:lang w:val="el-GR"/>
          <w14:ligatures w14:val="none"/>
        </w:rPr>
        <w:sym w:font="Wingdings" w:char="F022"/>
      </w:r>
      <w:r w:rsidRPr="00CC4FBC">
        <w:rPr>
          <w:rFonts w:ascii="Calibri" w:eastAsia="Calibri" w:hAnsi="Calibri" w:cs="Calibri"/>
          <w:bCs w:val="0"/>
          <w:kern w:val="0"/>
          <w:sz w:val="24"/>
          <w:szCs w:val="24"/>
          <w:lang w:val="el-GR"/>
          <w14:ligatures w14:val="none"/>
        </w:rPr>
        <w:t xml:space="preserve">, απόσταση μικρή για τις αγροτικές αραιοκατοικημένες περιοχές όπου αναπτύσσεται το συγκεκριμένο δίκτυο. </w:t>
      </w:r>
      <w:r w:rsidR="0049204B" w:rsidRPr="00CC4FBC">
        <w:rPr>
          <w:rFonts w:ascii="Calibri" w:eastAsia="Calibri" w:hAnsi="Calibri" w:cs="Calibri"/>
          <w:bCs w:val="0"/>
          <w:kern w:val="0"/>
          <w:sz w:val="24"/>
          <w:szCs w:val="24"/>
          <w:lang w:val="el-GR"/>
          <w14:ligatures w14:val="none"/>
        </w:rPr>
        <w:sym w:font="Wingdings" w:char="F022"/>
      </w:r>
    </w:p>
    <w:p w14:paraId="6EEEE0E5" w14:textId="139FBE9E" w:rsidR="007A7BC6" w:rsidRPr="00CC4FBC" w:rsidRDefault="007A7BC6" w:rsidP="00034FBB">
      <w:pPr>
        <w:widowControl w:val="0"/>
        <w:numPr>
          <w:ilvl w:val="0"/>
          <w:numId w:val="19"/>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CC4FBC">
        <w:rPr>
          <w:rFonts w:ascii="Calibri" w:eastAsia="Calibri" w:hAnsi="Calibri" w:cs="Calibri"/>
          <w:bCs w:val="0"/>
          <w:kern w:val="0"/>
          <w:sz w:val="24"/>
          <w:szCs w:val="24"/>
          <w:lang w:val="el-GR"/>
          <w14:ligatures w14:val="none"/>
        </w:rPr>
        <w:t xml:space="preserve">Το μήκος του </w:t>
      </w:r>
      <w:proofErr w:type="spellStart"/>
      <w:r w:rsidRPr="00CC4FBC">
        <w:rPr>
          <w:rFonts w:ascii="Calibri" w:eastAsia="Calibri" w:hAnsi="Calibri" w:cs="Calibri"/>
          <w:bCs w:val="0"/>
          <w:kern w:val="0"/>
          <w:sz w:val="24"/>
          <w:szCs w:val="24"/>
          <w:lang w:val="el-GR"/>
          <w14:ligatures w14:val="none"/>
        </w:rPr>
        <w:t>feeder</w:t>
      </w:r>
      <w:proofErr w:type="spellEnd"/>
      <w:r w:rsidRPr="00CC4FBC">
        <w:rPr>
          <w:rFonts w:ascii="Calibri" w:eastAsia="Calibri" w:hAnsi="Calibri" w:cs="Calibri"/>
          <w:bCs w:val="0"/>
          <w:kern w:val="0"/>
          <w:sz w:val="24"/>
          <w:szCs w:val="24"/>
          <w:lang w:val="el-GR"/>
          <w14:ligatures w14:val="none"/>
        </w:rPr>
        <w:t xml:space="preserve"> δικτύου του FTTH υποεκτιμάται</w:t>
      </w:r>
      <w:r w:rsidR="0049204B" w:rsidRPr="00CC4FBC">
        <w:rPr>
          <w:rFonts w:ascii="Calibri" w:eastAsia="Calibri" w:hAnsi="Calibri" w:cs="Calibri"/>
          <w:bCs w:val="0"/>
          <w:kern w:val="0"/>
          <w:sz w:val="24"/>
          <w:szCs w:val="24"/>
          <w:lang w:val="el-GR"/>
          <w14:ligatures w14:val="none"/>
        </w:rPr>
        <w:t xml:space="preserve"> </w:t>
      </w:r>
      <w:r w:rsidR="0049204B" w:rsidRPr="00CC4FBC">
        <w:rPr>
          <w:rFonts w:ascii="Calibri" w:eastAsia="Calibri" w:hAnsi="Calibri" w:cs="Calibri"/>
          <w:bCs w:val="0"/>
          <w:kern w:val="0"/>
          <w:sz w:val="24"/>
          <w:szCs w:val="24"/>
          <w:lang w:val="el-GR"/>
          <w14:ligatures w14:val="none"/>
        </w:rPr>
        <w:sym w:font="Wingdings" w:char="F022"/>
      </w:r>
      <w:r w:rsidRPr="00CC4FBC">
        <w:rPr>
          <w:rFonts w:ascii="Calibri" w:eastAsia="Calibri" w:hAnsi="Calibri" w:cs="Calibri"/>
          <w:bCs w:val="0"/>
          <w:kern w:val="0"/>
          <w:sz w:val="24"/>
          <w:szCs w:val="24"/>
          <w:lang w:val="el-GR"/>
          <w14:ligatures w14:val="none"/>
        </w:rPr>
        <w:t>.</w:t>
      </w:r>
    </w:p>
    <w:p w14:paraId="5D36A7A7" w14:textId="06EFED61" w:rsidR="007A7BC6" w:rsidRPr="00CC4FBC" w:rsidRDefault="007A7BC6" w:rsidP="00034FBB">
      <w:pPr>
        <w:widowControl w:val="0"/>
        <w:numPr>
          <w:ilvl w:val="0"/>
          <w:numId w:val="19"/>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CC4FBC">
        <w:rPr>
          <w:rFonts w:ascii="Calibri" w:eastAsia="Calibri" w:hAnsi="Calibri" w:cs="Calibri"/>
          <w:bCs w:val="0"/>
          <w:kern w:val="0"/>
          <w:sz w:val="24"/>
          <w:szCs w:val="24"/>
          <w:lang w:val="el-GR"/>
          <w14:ligatures w14:val="none"/>
        </w:rPr>
        <w:t xml:space="preserve">Ο αριθμός των ινών ανά κτίριο είναι ιδιαίτερα μικρός. Το πλήθος αυτό κάνει ουσιαστικά αδύνατη την παροχή υπηρεσιών PIA στο τμήμα του </w:t>
      </w:r>
      <w:proofErr w:type="spellStart"/>
      <w:r w:rsidRPr="00CC4FBC">
        <w:rPr>
          <w:rFonts w:ascii="Calibri" w:eastAsia="Calibri" w:hAnsi="Calibri" w:cs="Calibri"/>
          <w:bCs w:val="0"/>
          <w:kern w:val="0"/>
          <w:sz w:val="24"/>
          <w:szCs w:val="24"/>
          <w:lang w:val="el-GR"/>
          <w14:ligatures w14:val="none"/>
        </w:rPr>
        <w:t>distribution</w:t>
      </w:r>
      <w:proofErr w:type="spellEnd"/>
      <w:r w:rsidRPr="00CC4FBC">
        <w:rPr>
          <w:rFonts w:ascii="Calibri" w:eastAsia="Calibri" w:hAnsi="Calibri" w:cs="Calibri"/>
          <w:bCs w:val="0"/>
          <w:kern w:val="0"/>
          <w:sz w:val="24"/>
          <w:szCs w:val="24"/>
          <w:lang w:val="el-GR"/>
          <w14:ligatures w14:val="none"/>
        </w:rPr>
        <w:t xml:space="preserve"> και </w:t>
      </w:r>
      <w:proofErr w:type="spellStart"/>
      <w:r w:rsidRPr="00CC4FBC">
        <w:rPr>
          <w:rFonts w:ascii="Calibri" w:eastAsia="Calibri" w:hAnsi="Calibri" w:cs="Calibri"/>
          <w:bCs w:val="0"/>
          <w:kern w:val="0"/>
          <w:sz w:val="24"/>
          <w:szCs w:val="24"/>
          <w:lang w:val="el-GR"/>
          <w14:ligatures w14:val="none"/>
        </w:rPr>
        <w:t>drop</w:t>
      </w:r>
      <w:proofErr w:type="spellEnd"/>
      <w:r w:rsidRPr="00CC4FBC">
        <w:rPr>
          <w:rFonts w:ascii="Calibri" w:eastAsia="Calibri" w:hAnsi="Calibri" w:cs="Calibri"/>
          <w:bCs w:val="0"/>
          <w:kern w:val="0"/>
          <w:sz w:val="24"/>
          <w:szCs w:val="24"/>
          <w:lang w:val="el-GR"/>
          <w14:ligatures w14:val="none"/>
        </w:rPr>
        <w:t xml:space="preserve"> του δικτύου,</w:t>
      </w:r>
      <w:r w:rsidR="00CC4FBC" w:rsidRPr="00CC4FBC">
        <w:rPr>
          <w:rFonts w:ascii="Calibri" w:eastAsia="Calibri" w:hAnsi="Calibri" w:cs="Calibri"/>
          <w:bCs w:val="0"/>
          <w:kern w:val="0"/>
          <w:sz w:val="24"/>
          <w:szCs w:val="24"/>
          <w:lang w:val="el-GR"/>
          <w14:ligatures w14:val="none"/>
        </w:rPr>
        <w:t xml:space="preserve"> </w:t>
      </w:r>
      <w:r w:rsidR="0049204B" w:rsidRPr="00CC4FBC">
        <w:rPr>
          <w:rFonts w:ascii="Calibri" w:eastAsia="Calibri" w:hAnsi="Calibri" w:cs="Calibri"/>
          <w:bCs w:val="0"/>
          <w:kern w:val="0"/>
          <w:sz w:val="24"/>
          <w:szCs w:val="24"/>
          <w:lang w:val="el-GR"/>
          <w14:ligatures w14:val="none"/>
        </w:rPr>
        <w:sym w:font="Wingdings" w:char="F022"/>
      </w:r>
      <w:r w:rsidRPr="00CC4FBC">
        <w:rPr>
          <w:rFonts w:ascii="Calibri" w:eastAsia="Calibri" w:hAnsi="Calibri" w:cs="Calibri"/>
          <w:bCs w:val="0"/>
          <w:kern w:val="0"/>
          <w:sz w:val="24"/>
          <w:szCs w:val="24"/>
          <w:lang w:val="el-GR"/>
          <w14:ligatures w14:val="none"/>
        </w:rPr>
        <w:t>.</w:t>
      </w:r>
    </w:p>
    <w:p w14:paraId="14CA9241" w14:textId="1B531D18" w:rsidR="007A7BC6" w:rsidRPr="00CC4FBC" w:rsidRDefault="007A7BC6" w:rsidP="00034FBB">
      <w:pPr>
        <w:widowControl w:val="0"/>
        <w:numPr>
          <w:ilvl w:val="0"/>
          <w:numId w:val="19"/>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CC4FBC">
        <w:rPr>
          <w:rFonts w:ascii="Calibri" w:eastAsia="Calibri" w:hAnsi="Calibri" w:cs="Calibri"/>
          <w:bCs w:val="0"/>
          <w:kern w:val="0"/>
          <w:sz w:val="24"/>
          <w:szCs w:val="24"/>
          <w:lang w:val="el-GR"/>
          <w14:ligatures w14:val="none"/>
        </w:rPr>
        <w:t xml:space="preserve">Το μήκος για το </w:t>
      </w:r>
      <w:proofErr w:type="spellStart"/>
      <w:r w:rsidRPr="00CC4FBC">
        <w:rPr>
          <w:rFonts w:ascii="Calibri" w:eastAsia="Calibri" w:hAnsi="Calibri" w:cs="Calibri"/>
          <w:bCs w:val="0"/>
          <w:kern w:val="0"/>
          <w:sz w:val="24"/>
          <w:szCs w:val="24"/>
          <w:lang w:val="el-GR"/>
          <w14:ligatures w14:val="none"/>
        </w:rPr>
        <w:t>drop</w:t>
      </w:r>
      <w:proofErr w:type="spellEnd"/>
      <w:r w:rsidRPr="00CC4FBC">
        <w:rPr>
          <w:rFonts w:ascii="Calibri" w:eastAsia="Calibri" w:hAnsi="Calibri" w:cs="Calibri"/>
          <w:bCs w:val="0"/>
          <w:kern w:val="0"/>
          <w:sz w:val="24"/>
          <w:szCs w:val="24"/>
          <w:lang w:val="el-GR"/>
          <w14:ligatures w14:val="none"/>
        </w:rPr>
        <w:t xml:space="preserve"> που </w:t>
      </w:r>
      <w:proofErr w:type="spellStart"/>
      <w:r w:rsidRPr="00CC4FBC">
        <w:rPr>
          <w:rFonts w:ascii="Calibri" w:eastAsia="Calibri" w:hAnsi="Calibri" w:cs="Calibri"/>
          <w:bCs w:val="0"/>
          <w:kern w:val="0"/>
          <w:sz w:val="24"/>
          <w:szCs w:val="24"/>
          <w:lang w:val="el-GR"/>
          <w14:ligatures w14:val="none"/>
        </w:rPr>
        <w:t>μοντελοποιείται</w:t>
      </w:r>
      <w:proofErr w:type="spellEnd"/>
      <w:r w:rsidRPr="00CC4FBC">
        <w:rPr>
          <w:rFonts w:ascii="Calibri" w:eastAsia="Calibri" w:hAnsi="Calibri" w:cs="Calibri"/>
          <w:bCs w:val="0"/>
          <w:kern w:val="0"/>
          <w:sz w:val="24"/>
          <w:szCs w:val="24"/>
          <w:lang w:val="el-GR"/>
          <w14:ligatures w14:val="none"/>
        </w:rPr>
        <w:t xml:space="preserve"> είναι ιδιαίτερα μικρό. Με βάση την εκτεταμένη εμπειρία από τις εγκαταστάσεις του ΟΤΕ προτείνουμε το μήκος για τα </w:t>
      </w:r>
      <w:proofErr w:type="spellStart"/>
      <w:r w:rsidRPr="00CC4FBC">
        <w:rPr>
          <w:rFonts w:ascii="Calibri" w:eastAsia="Calibri" w:hAnsi="Calibri" w:cs="Calibri"/>
          <w:bCs w:val="0"/>
          <w:kern w:val="0"/>
          <w:sz w:val="24"/>
          <w:szCs w:val="24"/>
          <w:lang w:val="el-GR"/>
          <w14:ligatures w14:val="none"/>
        </w:rPr>
        <w:t>drop</w:t>
      </w:r>
      <w:proofErr w:type="spellEnd"/>
      <w:r w:rsidRPr="00CC4FBC">
        <w:rPr>
          <w:rFonts w:ascii="Calibri" w:eastAsia="Calibri" w:hAnsi="Calibri" w:cs="Calibri"/>
          <w:bCs w:val="0"/>
          <w:kern w:val="0"/>
          <w:sz w:val="24"/>
          <w:szCs w:val="24"/>
          <w:lang w:val="el-GR"/>
          <w14:ligatures w14:val="none"/>
        </w:rPr>
        <w:t xml:space="preserve"> (ως μέσο μήκος) να αυξηθεί</w:t>
      </w:r>
      <w:r w:rsidR="0049204B" w:rsidRPr="00CC4FBC">
        <w:rPr>
          <w:rFonts w:ascii="Calibri" w:eastAsia="Calibri" w:hAnsi="Calibri" w:cs="Calibri"/>
          <w:bCs w:val="0"/>
          <w:kern w:val="0"/>
          <w:sz w:val="24"/>
          <w:szCs w:val="24"/>
          <w:lang w:val="el-GR"/>
          <w14:ligatures w14:val="none"/>
        </w:rPr>
        <w:t xml:space="preserve"> </w:t>
      </w:r>
      <w:r w:rsidR="0049204B" w:rsidRPr="00CC4FBC">
        <w:rPr>
          <w:rFonts w:ascii="Calibri" w:eastAsia="Calibri" w:hAnsi="Calibri" w:cs="Calibri"/>
          <w:bCs w:val="0"/>
          <w:kern w:val="0"/>
          <w:sz w:val="24"/>
          <w:szCs w:val="24"/>
          <w:lang w:val="el-GR"/>
          <w14:ligatures w14:val="none"/>
        </w:rPr>
        <w:sym w:font="Wingdings" w:char="F022"/>
      </w:r>
      <w:r w:rsidRPr="00CC4FBC">
        <w:rPr>
          <w:rFonts w:ascii="Calibri" w:eastAsia="Calibri" w:hAnsi="Calibri" w:cs="Calibri"/>
          <w:bCs w:val="0"/>
          <w:kern w:val="0"/>
          <w:sz w:val="24"/>
          <w:szCs w:val="24"/>
          <w:lang w:val="el-GR"/>
          <w14:ligatures w14:val="none"/>
        </w:rPr>
        <w:t>.</w:t>
      </w:r>
    </w:p>
    <w:p w14:paraId="7571E287" w14:textId="77777777" w:rsidR="006647F9" w:rsidRPr="007A7BC6" w:rsidRDefault="006647F9" w:rsidP="006647F9">
      <w:pPr>
        <w:widowControl w:val="0"/>
        <w:autoSpaceDE w:val="0"/>
        <w:autoSpaceDN w:val="0"/>
        <w:spacing w:after="240" w:line="360" w:lineRule="atLeast"/>
        <w:ind w:left="360" w:right="0"/>
        <w:contextualSpacing/>
        <w:jc w:val="both"/>
        <w:rPr>
          <w:rFonts w:ascii="Calibri" w:eastAsia="Calibri" w:hAnsi="Calibri" w:cs="Calibri"/>
          <w:bCs w:val="0"/>
          <w:kern w:val="0"/>
          <w:sz w:val="24"/>
          <w:szCs w:val="24"/>
          <w:lang w:val="el-GR"/>
          <w14:ligatures w14:val="none"/>
        </w:rPr>
      </w:pPr>
    </w:p>
    <w:p w14:paraId="3A598042" w14:textId="77777777" w:rsidR="007A7BC6" w:rsidRPr="007A7BC6" w:rsidRDefault="007A7BC6" w:rsidP="007A7BC6">
      <w:pPr>
        <w:keepNext/>
        <w:keepLines/>
        <w:widowControl w:val="0"/>
        <w:numPr>
          <w:ilvl w:val="1"/>
          <w:numId w:val="0"/>
        </w:numPr>
        <w:autoSpaceDE w:val="0"/>
        <w:autoSpaceDN w:val="0"/>
        <w:spacing w:before="160" w:after="80" w:line="360" w:lineRule="atLeast"/>
        <w:ind w:left="1080" w:right="0" w:hanging="360"/>
        <w:jc w:val="both"/>
        <w:outlineLvl w:val="2"/>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lang w:val="el-GR"/>
          <w14:ligatures w14:val="none"/>
        </w:rPr>
        <w:t>Υπολογισμός εναέριων καλωδίων</w:t>
      </w:r>
    </w:p>
    <w:p w14:paraId="169A4A1B"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Σε σχέση με τα μήκη των χάλκινων καλωδίων το μοντέλο μετατρέπει σε εναέριες τις οδεύσεις στις οποίες έχουν υπολογιστεί καλώδια με μεγάλο πλήθος ζευγών (π.χ. 50, 100, 200, 400 και 1000 ζευγών). Είναι σαφές ότι κάτι τέτοιο δεν είναι εφικτό και θα πρέπει να μην προβλέπεται από το </w:t>
      </w:r>
      <w:r w:rsidRPr="007A7BC6">
        <w:rPr>
          <w:rFonts w:ascii="Calibri" w:eastAsia="Calibri" w:hAnsi="Calibri" w:cs="Calibri"/>
          <w:bCs w:val="0"/>
          <w:kern w:val="0"/>
          <w:sz w:val="24"/>
          <w:szCs w:val="24"/>
          <w:lang w:val="el-GR"/>
          <w14:ligatures w14:val="none"/>
        </w:rPr>
        <w:lastRenderedPageBreak/>
        <w:t>μοντέλο. Εναέρια καλώδια τοποθετούνται μόνο σε περιπτώσεις όπου ο σχετικός αριθμός ζευγών σε μια όδευση το επιτρέπει.</w:t>
      </w:r>
    </w:p>
    <w:p w14:paraId="3819B764" w14:textId="77777777" w:rsidR="007A7BC6" w:rsidRPr="007A7BC6" w:rsidRDefault="007A7BC6" w:rsidP="007A7BC6">
      <w:pPr>
        <w:keepNext/>
        <w:keepLines/>
        <w:widowControl w:val="0"/>
        <w:numPr>
          <w:ilvl w:val="1"/>
          <w:numId w:val="0"/>
        </w:numPr>
        <w:autoSpaceDE w:val="0"/>
        <w:autoSpaceDN w:val="0"/>
        <w:spacing w:before="160" w:after="80" w:line="360" w:lineRule="atLeast"/>
        <w:ind w:left="1080" w:right="0" w:hanging="360"/>
        <w:jc w:val="both"/>
        <w:outlineLvl w:val="2"/>
        <w:rPr>
          <w:rFonts w:asciiTheme="majorHAnsi" w:eastAsiaTheme="majorEastAsia" w:hAnsiTheme="majorHAnsi" w:cstheme="majorBidi"/>
          <w:bCs w:val="0"/>
          <w:color w:val="0F4761" w:themeColor="accent1" w:themeShade="BF"/>
          <w:kern w:val="0"/>
          <w:sz w:val="28"/>
          <w:szCs w:val="28"/>
          <w:lang w:val="el-GR"/>
          <w14:ligatures w14:val="none"/>
        </w:rPr>
      </w:pPr>
      <w:proofErr w:type="spellStart"/>
      <w:r w:rsidRPr="007A7BC6">
        <w:rPr>
          <w:rFonts w:asciiTheme="majorHAnsi" w:eastAsiaTheme="majorEastAsia" w:hAnsiTheme="majorHAnsi" w:cstheme="majorBidi"/>
          <w:bCs w:val="0"/>
          <w:color w:val="0F4761" w:themeColor="accent1" w:themeShade="BF"/>
          <w:kern w:val="0"/>
          <w:sz w:val="28"/>
          <w:szCs w:val="28"/>
          <w14:ligatures w14:val="none"/>
        </w:rPr>
        <w:t>Geotype</w:t>
      </w:r>
      <w:proofErr w:type="spellEnd"/>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 </w:t>
      </w:r>
      <w:r w:rsidRPr="007A7BC6">
        <w:rPr>
          <w:rFonts w:asciiTheme="majorHAnsi" w:eastAsiaTheme="majorEastAsia" w:hAnsiTheme="majorHAnsi" w:cstheme="majorBidi"/>
          <w:bCs w:val="0"/>
          <w:color w:val="0F4761" w:themeColor="accent1" w:themeShade="BF"/>
          <w:kern w:val="0"/>
          <w:sz w:val="28"/>
          <w:szCs w:val="28"/>
          <w14:ligatures w14:val="none"/>
        </w:rPr>
        <w:t>Price</w:t>
      </w: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 </w:t>
      </w:r>
      <w:r w:rsidRPr="007A7BC6">
        <w:rPr>
          <w:rFonts w:asciiTheme="majorHAnsi" w:eastAsiaTheme="majorEastAsia" w:hAnsiTheme="majorHAnsi" w:cstheme="majorBidi"/>
          <w:bCs w:val="0"/>
          <w:color w:val="0F4761" w:themeColor="accent1" w:themeShade="BF"/>
          <w:kern w:val="0"/>
          <w:sz w:val="28"/>
          <w:szCs w:val="28"/>
          <w14:ligatures w14:val="none"/>
        </w:rPr>
        <w:t>Adjustment</w:t>
      </w:r>
    </w:p>
    <w:p w14:paraId="4D9D390A"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Αναφορικά με τον τρόπο υπολογισμού των οδεύσεων όπως παρουσιάζεται στο Σχήμα 9: «Διάγραμμα ροής υπολογισμών οδεύσεων/χαντακιών», όπως και υλοποιείται στο μοντέλο θα θέλαμε να σημειώσουμε ότι καθώς οι τιμές που εμφανίζονται στο "</w:t>
      </w:r>
      <w:proofErr w:type="spellStart"/>
      <w:r w:rsidRPr="007A7BC6">
        <w:rPr>
          <w:rFonts w:ascii="Calibri" w:eastAsia="Calibri" w:hAnsi="Calibri" w:cs="Calibri"/>
          <w:bCs w:val="0"/>
          <w:kern w:val="0"/>
          <w:sz w:val="24"/>
          <w:szCs w:val="24"/>
          <w:lang w:val="el-GR"/>
          <w14:ligatures w14:val="none"/>
        </w:rPr>
        <w:t>Network_Elements</w:t>
      </w:r>
      <w:proofErr w:type="spellEnd"/>
      <w:r w:rsidRPr="007A7BC6">
        <w:rPr>
          <w:rFonts w:ascii="Calibri" w:eastAsia="Calibri" w:hAnsi="Calibri" w:cs="Calibri"/>
          <w:bCs w:val="0"/>
          <w:kern w:val="0"/>
          <w:sz w:val="24"/>
          <w:szCs w:val="24"/>
          <w:lang w:val="el-GR"/>
          <w14:ligatures w14:val="none"/>
        </w:rPr>
        <w:t xml:space="preserve">" είναι ήδη πανελλαδικές μέσες τιμές, βασιζόμενες στα έργα που κάνουν οι </w:t>
      </w:r>
      <w:proofErr w:type="spellStart"/>
      <w:r w:rsidRPr="007A7BC6">
        <w:rPr>
          <w:rFonts w:ascii="Calibri" w:eastAsia="Calibri" w:hAnsi="Calibri" w:cs="Calibri"/>
          <w:bCs w:val="0"/>
          <w:kern w:val="0"/>
          <w:sz w:val="24"/>
          <w:szCs w:val="24"/>
          <w:lang w:val="el-GR"/>
          <w14:ligatures w14:val="none"/>
        </w:rPr>
        <w:t>πάροχοι</w:t>
      </w:r>
      <w:proofErr w:type="spellEnd"/>
      <w:r w:rsidRPr="007A7BC6">
        <w:rPr>
          <w:rFonts w:ascii="Calibri" w:eastAsia="Calibri" w:hAnsi="Calibri" w:cs="Calibri"/>
          <w:bCs w:val="0"/>
          <w:kern w:val="0"/>
          <w:sz w:val="24"/>
          <w:szCs w:val="24"/>
          <w:lang w:val="el-GR"/>
          <w14:ligatures w14:val="none"/>
        </w:rPr>
        <w:t>, και κυρίως ο ΟΤΕ, σε όλη την Ελλάδα. Κατά συνέπεια, δεν δικαιολογείται πρόσθετη προσαρμογή μέσω του “</w:t>
      </w:r>
      <w:proofErr w:type="spellStart"/>
      <w:r w:rsidRPr="007A7BC6">
        <w:rPr>
          <w:rFonts w:ascii="Calibri" w:eastAsia="Calibri" w:hAnsi="Calibri" w:cs="Calibri"/>
          <w:bCs w:val="0"/>
          <w:kern w:val="0"/>
          <w:sz w:val="24"/>
          <w:szCs w:val="24"/>
          <w:lang w:val="el-GR"/>
          <w14:ligatures w14:val="none"/>
        </w:rPr>
        <w:t>Geotype</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Price</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Adjustment</w:t>
      </w:r>
      <w:proofErr w:type="spellEnd"/>
      <w:r w:rsidRPr="007A7BC6">
        <w:rPr>
          <w:rFonts w:ascii="Calibri" w:eastAsia="Calibri" w:hAnsi="Calibri" w:cs="Calibri"/>
          <w:bCs w:val="0"/>
          <w:kern w:val="0"/>
          <w:sz w:val="24"/>
          <w:szCs w:val="24"/>
          <w:lang w:val="el-GR"/>
          <w14:ligatures w14:val="none"/>
        </w:rPr>
        <w:t xml:space="preserve">”, η χρήση της οποίας οδηγεί σε τεχνητή διαφοροποίηση τιμών που ήδη αποτυπώνουν γεωγραφικούς μέσους όρους. Συγκεκριμένα, τα κόστη που έχει υποβάλει ο ΟΤΕ για τις διάφορες εργασίες στο δίκτυο χαλκού ενσωματώνουν ήδη τη χωρική διασπορά αυτών των εργασιών σε όλη τη χώρα. Αντίστοιχα, για τα δίκτυα FTTH, το εξεταζόμενο </w:t>
      </w:r>
      <w:proofErr w:type="spellStart"/>
      <w:r w:rsidRPr="007A7BC6">
        <w:rPr>
          <w:rFonts w:ascii="Calibri" w:eastAsia="Calibri" w:hAnsi="Calibri" w:cs="Calibri"/>
          <w:bCs w:val="0"/>
          <w:kern w:val="0"/>
          <w:sz w:val="24"/>
          <w:szCs w:val="24"/>
          <w:lang w:val="el-GR"/>
          <w14:ligatures w14:val="none"/>
        </w:rPr>
        <w:t>footprint</w:t>
      </w:r>
      <w:proofErr w:type="spellEnd"/>
      <w:r w:rsidRPr="007A7BC6">
        <w:rPr>
          <w:rFonts w:ascii="Calibri" w:eastAsia="Calibri" w:hAnsi="Calibri" w:cs="Calibri"/>
          <w:bCs w:val="0"/>
          <w:kern w:val="0"/>
          <w:sz w:val="24"/>
          <w:szCs w:val="24"/>
          <w:lang w:val="el-GR"/>
          <w14:ligatures w14:val="none"/>
        </w:rPr>
        <w:t xml:space="preserve"> αφορά περιοχές εκτός επιδοτούμενων έργων, δηλαδή περιοχές στις οποίες οι </w:t>
      </w:r>
      <w:proofErr w:type="spellStart"/>
      <w:r w:rsidRPr="007A7BC6">
        <w:rPr>
          <w:rFonts w:ascii="Calibri" w:eastAsia="Calibri" w:hAnsi="Calibri" w:cs="Calibri"/>
          <w:bCs w:val="0"/>
          <w:kern w:val="0"/>
          <w:sz w:val="24"/>
          <w:szCs w:val="24"/>
          <w:lang w:val="el-GR"/>
          <w14:ligatures w14:val="none"/>
        </w:rPr>
        <w:t>πάροχοι</w:t>
      </w:r>
      <w:proofErr w:type="spellEnd"/>
      <w:r w:rsidRPr="007A7BC6">
        <w:rPr>
          <w:rFonts w:ascii="Calibri" w:eastAsia="Calibri" w:hAnsi="Calibri" w:cs="Calibri"/>
          <w:bCs w:val="0"/>
          <w:kern w:val="0"/>
          <w:sz w:val="24"/>
          <w:szCs w:val="24"/>
          <w:lang w:val="el-GR"/>
          <w14:ligatures w14:val="none"/>
        </w:rPr>
        <w:t xml:space="preserve"> ήδη υλοποιούν έργα ανάπτυξης, με αποτέλεσμα οι σχετικές τιμές να είναι ήδη </w:t>
      </w:r>
      <w:proofErr w:type="spellStart"/>
      <w:r w:rsidRPr="007A7BC6">
        <w:rPr>
          <w:rFonts w:ascii="Calibri" w:eastAsia="Calibri" w:hAnsi="Calibri" w:cs="Calibri"/>
          <w:bCs w:val="0"/>
          <w:kern w:val="0"/>
          <w:sz w:val="24"/>
          <w:szCs w:val="24"/>
          <w:lang w:val="el-GR"/>
          <w14:ligatures w14:val="none"/>
        </w:rPr>
        <w:t>μεσοσταθμικές</w:t>
      </w:r>
      <w:proofErr w:type="spellEnd"/>
      <w:r w:rsidRPr="007A7BC6">
        <w:rPr>
          <w:rFonts w:ascii="Calibri" w:eastAsia="Calibri" w:hAnsi="Calibri" w:cs="Calibri"/>
          <w:bCs w:val="0"/>
          <w:kern w:val="0"/>
          <w:sz w:val="24"/>
          <w:szCs w:val="24"/>
          <w:lang w:val="el-GR"/>
          <w14:ligatures w14:val="none"/>
        </w:rPr>
        <w:t>. Το ίδιο ισχύει και για τα δίκτυα FTTC, όπου λαμβάνονται υπόψη αποκλειστικά οι εγκατεστημένες καμπίνες που προέκυψαν από τη διαδικασία των αναθέσεων.</w:t>
      </w:r>
    </w:p>
    <w:p w14:paraId="23A219F0"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Σε αυτή τη βάση, η εφαρμογή του </w:t>
      </w:r>
      <w:proofErr w:type="spellStart"/>
      <w:r w:rsidRPr="007A7BC6">
        <w:rPr>
          <w:rFonts w:ascii="Calibri" w:eastAsia="Calibri" w:hAnsi="Calibri" w:cs="Calibri"/>
          <w:bCs w:val="0"/>
          <w:kern w:val="0"/>
          <w:sz w:val="24"/>
          <w:szCs w:val="24"/>
          <w:lang w:val="el-GR"/>
          <w14:ligatures w14:val="none"/>
        </w:rPr>
        <w:t>Geotype</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Price</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Adjustment</w:t>
      </w:r>
      <w:proofErr w:type="spellEnd"/>
      <w:r w:rsidRPr="007A7BC6">
        <w:rPr>
          <w:rFonts w:ascii="Calibri" w:eastAsia="Calibri" w:hAnsi="Calibri" w:cs="Calibri"/>
          <w:bCs w:val="0"/>
          <w:kern w:val="0"/>
          <w:sz w:val="24"/>
          <w:szCs w:val="24"/>
          <w:lang w:val="el-GR"/>
          <w14:ligatures w14:val="none"/>
        </w:rPr>
        <w:t xml:space="preserve"> δεν απαιτείται, καθώς οι αναγκαίες </w:t>
      </w:r>
      <w:proofErr w:type="spellStart"/>
      <w:r w:rsidRPr="007A7BC6">
        <w:rPr>
          <w:rFonts w:ascii="Calibri" w:eastAsia="Calibri" w:hAnsi="Calibri" w:cs="Calibri"/>
          <w:bCs w:val="0"/>
          <w:kern w:val="0"/>
          <w:sz w:val="24"/>
          <w:szCs w:val="24"/>
          <w:lang w:val="el-GR"/>
          <w14:ligatures w14:val="none"/>
        </w:rPr>
        <w:t>μεσοσταθμίσεις</w:t>
      </w:r>
      <w:proofErr w:type="spellEnd"/>
      <w:r w:rsidRPr="007A7BC6">
        <w:rPr>
          <w:rFonts w:ascii="Calibri" w:eastAsia="Calibri" w:hAnsi="Calibri" w:cs="Calibri"/>
          <w:bCs w:val="0"/>
          <w:kern w:val="0"/>
          <w:sz w:val="24"/>
          <w:szCs w:val="24"/>
          <w:lang w:val="el-GR"/>
          <w14:ligatures w14:val="none"/>
        </w:rPr>
        <w:t xml:space="preserve"> κόστους έχουν ήδη πραγματοποιηθεί από τους </w:t>
      </w:r>
      <w:proofErr w:type="spellStart"/>
      <w:r w:rsidRPr="007A7BC6">
        <w:rPr>
          <w:rFonts w:ascii="Calibri" w:eastAsia="Calibri" w:hAnsi="Calibri" w:cs="Calibri"/>
          <w:bCs w:val="0"/>
          <w:kern w:val="0"/>
          <w:sz w:val="24"/>
          <w:szCs w:val="24"/>
          <w:lang w:val="el-GR"/>
          <w14:ligatures w14:val="none"/>
        </w:rPr>
        <w:t>παρόχους</w:t>
      </w:r>
      <w:proofErr w:type="spellEnd"/>
      <w:r w:rsidRPr="007A7BC6">
        <w:rPr>
          <w:rFonts w:ascii="Calibri" w:eastAsia="Calibri" w:hAnsi="Calibri" w:cs="Calibri"/>
          <w:bCs w:val="0"/>
          <w:kern w:val="0"/>
          <w:sz w:val="24"/>
          <w:szCs w:val="24"/>
          <w:lang w:val="el-GR"/>
          <w14:ligatures w14:val="none"/>
        </w:rPr>
        <w:t xml:space="preserve"> κατά την υποβολή των στοιχείων. Η κατάργηση του μηχανισμού αυτού θα οδηγήσει σε απλούστευση των σχετικών υπολογισμών του μοντέλου και σε μεγαλύτερη διαφάνεια στη μεθοδολογία.</w:t>
      </w:r>
    </w:p>
    <w:p w14:paraId="1CC9D5D8" w14:textId="77777777" w:rsidR="007A7BC6" w:rsidRPr="007A7BC6" w:rsidRDefault="007A7BC6" w:rsidP="007A7BC6">
      <w:pPr>
        <w:keepNext/>
        <w:keepLines/>
        <w:widowControl w:val="0"/>
        <w:numPr>
          <w:ilvl w:val="1"/>
          <w:numId w:val="0"/>
        </w:numPr>
        <w:autoSpaceDE w:val="0"/>
        <w:autoSpaceDN w:val="0"/>
        <w:spacing w:before="160" w:after="80" w:line="360" w:lineRule="atLeast"/>
        <w:ind w:left="1080" w:right="0" w:hanging="360"/>
        <w:jc w:val="both"/>
        <w:outlineLvl w:val="2"/>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lang w:val="el-GR"/>
          <w14:ligatures w14:val="none"/>
        </w:rPr>
        <w:t>Τιμές καλωδίων χαλκού &amp; οπτικού δικτύου</w:t>
      </w:r>
    </w:p>
    <w:p w14:paraId="061D8827" w14:textId="3D72495A" w:rsidR="007A7BC6" w:rsidRPr="00441F4A"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Τέλος, αναφορικά με τις τιμές ανά μέτρο χαλκού που χρησιμοποιούνται για τον υπολογισμό του κόστους των καλωδίων θα θέλαμε να επισημάνουμε ότι, εάν και οι τιμές της πρώτης ύλης χαλκού μεταξύ του 2019 και το 2025 έχουν αυξηθεί κατά 50%, κάτι τέτοιο δεν αποτυπώνεται στην </w:t>
      </w:r>
      <w:proofErr w:type="spellStart"/>
      <w:r w:rsidRPr="007A7BC6">
        <w:rPr>
          <w:rFonts w:ascii="Calibri" w:eastAsia="Calibri" w:hAnsi="Calibri" w:cs="Calibri"/>
          <w:bCs w:val="0"/>
          <w:kern w:val="0"/>
          <w:sz w:val="24"/>
          <w:szCs w:val="24"/>
          <w:lang w:val="el-GR"/>
          <w14:ligatures w14:val="none"/>
        </w:rPr>
        <w:t>επικαιροποίηση</w:t>
      </w:r>
      <w:proofErr w:type="spellEnd"/>
      <w:r w:rsidRPr="007A7BC6">
        <w:rPr>
          <w:rFonts w:ascii="Calibri" w:eastAsia="Calibri" w:hAnsi="Calibri" w:cs="Calibri"/>
          <w:bCs w:val="0"/>
          <w:kern w:val="0"/>
          <w:sz w:val="24"/>
          <w:szCs w:val="24"/>
          <w:lang w:val="el-GR"/>
          <w14:ligatures w14:val="none"/>
        </w:rPr>
        <w:t xml:space="preserve"> των τιμών μεταξύ του παλιού και του νέου μοντέλου. </w:t>
      </w:r>
      <w:r w:rsidR="0049204B">
        <w:rPr>
          <w:rFonts w:ascii="Calibri" w:eastAsia="Calibri" w:hAnsi="Calibri" w:cs="Calibri"/>
          <w:bCs w:val="0"/>
          <w:kern w:val="0"/>
          <w:sz w:val="24"/>
          <w:szCs w:val="24"/>
          <w:lang w:val="el-GR"/>
          <w14:ligatures w14:val="none"/>
        </w:rPr>
        <w:sym w:font="Wingdings" w:char="F022"/>
      </w:r>
    </w:p>
    <w:p w14:paraId="35FCFAFD" w14:textId="50D2BB3D"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Σχετικά αναφέρουμε ότι σε σχέση με το κόστος των </w:t>
      </w:r>
      <w:r w:rsidRPr="007A7BC6">
        <w:rPr>
          <w:rFonts w:ascii="Calibri" w:eastAsia="Calibri" w:hAnsi="Calibri" w:cs="Calibri"/>
          <w:bCs w:val="0"/>
          <w:kern w:val="0"/>
          <w:sz w:val="24"/>
          <w:szCs w:val="24"/>
          <w14:ligatures w14:val="none"/>
        </w:rPr>
        <w:t>network</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elements</w:t>
      </w:r>
      <w:r w:rsidRPr="007A7BC6">
        <w:rPr>
          <w:rFonts w:ascii="Calibri" w:eastAsia="Calibri" w:hAnsi="Calibri" w:cs="Calibri"/>
          <w:bCs w:val="0"/>
          <w:kern w:val="0"/>
          <w:sz w:val="24"/>
          <w:szCs w:val="24"/>
          <w:lang w:val="el-GR"/>
          <w14:ligatures w14:val="none"/>
        </w:rPr>
        <w:t xml:space="preserve"> χαλκού οι τιμές αγοράς υλικού για τα μεγάλα καλώδια των 1000 και 2000 ζευγών, σύμφωνα με στοιχεία του ΟΤΕ για το 2025, είναι </w:t>
      </w:r>
      <w:r w:rsidR="0049204B">
        <w:rPr>
          <w:rFonts w:ascii="Calibri" w:eastAsia="Calibri" w:hAnsi="Calibri" w:cs="Calibri"/>
          <w:bCs w:val="0"/>
          <w:kern w:val="0"/>
          <w:sz w:val="24"/>
          <w:szCs w:val="24"/>
          <w:lang w:val="el-GR"/>
          <w14:ligatures w14:val="none"/>
        </w:rPr>
        <w:sym w:font="Wingdings" w:char="F022"/>
      </w:r>
      <w:r w:rsidR="0049204B" w:rsidRPr="00073E3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lang w:val="el-GR"/>
          <w14:ligatures w14:val="none"/>
        </w:rPr>
        <w:t xml:space="preserve"> πιο ακριβά από τις τιμές που προβλέπει το μοντέλο της ΕΕΤΤ. Στο κόστος υλικού θα πρέπει να προστεθεί και σημαντικό κόστος για την εγκατάσταση των υλικών, χωρίς να υπολογίζονται τα χωματουργικά, οι </w:t>
      </w:r>
      <w:proofErr w:type="spellStart"/>
      <w:r w:rsidRPr="007A7BC6">
        <w:rPr>
          <w:rFonts w:ascii="Calibri" w:eastAsia="Calibri" w:hAnsi="Calibri" w:cs="Calibri"/>
          <w:bCs w:val="0"/>
          <w:kern w:val="0"/>
          <w:sz w:val="24"/>
          <w:szCs w:val="24"/>
          <w:lang w:val="el-GR"/>
          <w14:ligatures w14:val="none"/>
        </w:rPr>
        <w:t>μούφες</w:t>
      </w:r>
      <w:proofErr w:type="spellEnd"/>
      <w:r w:rsidRPr="007A7BC6">
        <w:rPr>
          <w:rFonts w:ascii="Calibri" w:eastAsia="Calibri" w:hAnsi="Calibri" w:cs="Calibri"/>
          <w:bCs w:val="0"/>
          <w:kern w:val="0"/>
          <w:sz w:val="24"/>
          <w:szCs w:val="24"/>
          <w:lang w:val="el-GR"/>
          <w14:ligatures w14:val="none"/>
        </w:rPr>
        <w:t xml:space="preserve">, η μεταφορά, η τεκμηρίωση, η επίβλεψη και παραλαβή </w:t>
      </w:r>
      <w:r w:rsidRPr="007A7BC6">
        <w:rPr>
          <w:rFonts w:ascii="Calibri" w:eastAsia="Calibri" w:hAnsi="Calibri" w:cs="Calibri"/>
          <w:bCs w:val="0"/>
          <w:kern w:val="0"/>
          <w:sz w:val="24"/>
          <w:szCs w:val="24"/>
          <w:lang w:val="el-GR"/>
          <w14:ligatures w14:val="none"/>
        </w:rPr>
        <w:lastRenderedPageBreak/>
        <w:t xml:space="preserve">κλπ. </w:t>
      </w:r>
    </w:p>
    <w:p w14:paraId="453585F0"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Ως προς το κόστος των οπτικών ινών σημειώνουμε ότι οι τιμές των καλωδίων 2 και 4 ινών μόνο για το υλικό και την εμφύσηση, όπως έχουν διαμορφωθεί το 2025, είναι ήδη πιο υψηλές από αυτές που προβλέπει το μοντέλο της ΕΕΤΤ, χωρίς να ληφθεί υπόψη το κόστος κολλήσεων, τεκμηρίωσης, μετρήσεων, επίβλεψης και παραλαβής. </w:t>
      </w:r>
    </w:p>
    <w:p w14:paraId="316033B6"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Τέλος σε σχέση με τη χωρητικότητα των </w:t>
      </w:r>
      <w:r w:rsidRPr="007A7BC6">
        <w:rPr>
          <w:rFonts w:ascii="Calibri" w:eastAsia="Calibri" w:hAnsi="Calibri" w:cs="Calibri"/>
          <w:bCs w:val="0"/>
          <w:kern w:val="0"/>
          <w:sz w:val="24"/>
          <w:szCs w:val="24"/>
          <w14:ligatures w14:val="none"/>
        </w:rPr>
        <w:t>OLT</w:t>
      </w:r>
      <w:r w:rsidRPr="007A7BC6">
        <w:rPr>
          <w:rFonts w:ascii="Calibri" w:eastAsia="Calibri" w:hAnsi="Calibri" w:cs="Calibri"/>
          <w:bCs w:val="0"/>
          <w:kern w:val="0"/>
          <w:sz w:val="24"/>
          <w:szCs w:val="24"/>
          <w:lang w:val="el-GR"/>
          <w14:ligatures w14:val="none"/>
        </w:rPr>
        <w:t xml:space="preserve"> σε κάρτες σημειώνουμε ότι τα </w:t>
      </w:r>
      <w:r w:rsidRPr="007A7BC6">
        <w:rPr>
          <w:rFonts w:ascii="Calibri" w:eastAsia="Calibri" w:hAnsi="Calibri" w:cs="Calibri"/>
          <w:bCs w:val="0"/>
          <w:kern w:val="0"/>
          <w:sz w:val="24"/>
          <w:szCs w:val="24"/>
          <w14:ligatures w14:val="none"/>
        </w:rPr>
        <w:t>OLT</w:t>
      </w:r>
      <w:r w:rsidRPr="007A7BC6">
        <w:rPr>
          <w:rFonts w:ascii="Calibri" w:eastAsia="Calibri" w:hAnsi="Calibri" w:cs="Calibri"/>
          <w:bCs w:val="0"/>
          <w:kern w:val="0"/>
          <w:sz w:val="24"/>
          <w:szCs w:val="24"/>
          <w:lang w:val="el-GR"/>
          <w14:ligatures w14:val="none"/>
        </w:rPr>
        <w:t xml:space="preserve"> έχουν χωρητικότητα 16 καρτών και όχι 17 όπως προβλέπει το μοντέλο της ΕΕΤΤ στην παράμετρο </w:t>
      </w:r>
      <w:r w:rsidRPr="007A7BC6">
        <w:rPr>
          <w:rFonts w:ascii="Calibri" w:eastAsia="Calibri" w:hAnsi="Calibri" w:cs="Calibri"/>
          <w:bCs w:val="0"/>
          <w:kern w:val="0"/>
          <w:sz w:val="24"/>
          <w:szCs w:val="24"/>
          <w14:ligatures w14:val="none"/>
        </w:rPr>
        <w:t>OLT</w:t>
      </w:r>
      <w:r w:rsidRPr="007A7BC6">
        <w:rPr>
          <w:rFonts w:ascii="Calibri" w:eastAsia="Calibri" w:hAnsi="Calibri" w:cs="Calibri"/>
          <w:bCs w:val="0"/>
          <w:kern w:val="0"/>
          <w:sz w:val="24"/>
          <w:szCs w:val="24"/>
          <w:lang w:val="el-GR"/>
          <w14:ligatures w14:val="none"/>
        </w:rPr>
        <w:t>_</w:t>
      </w:r>
      <w:r w:rsidRPr="007A7BC6">
        <w:rPr>
          <w:rFonts w:ascii="Calibri" w:eastAsia="Calibri" w:hAnsi="Calibri" w:cs="Calibri"/>
          <w:bCs w:val="0"/>
          <w:kern w:val="0"/>
          <w:sz w:val="24"/>
          <w:szCs w:val="24"/>
          <w14:ligatures w14:val="none"/>
        </w:rPr>
        <w:t>Cards</w:t>
      </w:r>
      <w:r w:rsidRPr="007A7BC6">
        <w:rPr>
          <w:rFonts w:ascii="Calibri" w:eastAsia="Calibri" w:hAnsi="Calibri" w:cs="Calibri"/>
          <w:bCs w:val="0"/>
          <w:kern w:val="0"/>
          <w:sz w:val="24"/>
          <w:szCs w:val="24"/>
          <w:lang w:val="el-GR"/>
          <w14:ligatures w14:val="none"/>
        </w:rPr>
        <w:t>.</w:t>
      </w:r>
    </w:p>
    <w:p w14:paraId="52AC99B1"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Συμπερασματικά το μοντέλο της ΕΕΤΤ </w:t>
      </w:r>
      <w:proofErr w:type="spellStart"/>
      <w:r w:rsidRPr="007A7BC6">
        <w:rPr>
          <w:rFonts w:ascii="Calibri" w:eastAsia="Calibri" w:hAnsi="Calibri" w:cs="Calibri"/>
          <w:bCs w:val="0"/>
          <w:kern w:val="0"/>
          <w:sz w:val="24"/>
          <w:szCs w:val="24"/>
          <w:lang w:val="el-GR"/>
          <w14:ligatures w14:val="none"/>
        </w:rPr>
        <w:t>υποκοστολογεί</w:t>
      </w:r>
      <w:proofErr w:type="spellEnd"/>
      <w:r w:rsidRPr="007A7BC6">
        <w:rPr>
          <w:rFonts w:ascii="Calibri" w:eastAsia="Calibri" w:hAnsi="Calibri" w:cs="Calibri"/>
          <w:bCs w:val="0"/>
          <w:kern w:val="0"/>
          <w:sz w:val="24"/>
          <w:szCs w:val="24"/>
          <w:lang w:val="el-GR"/>
          <w14:ligatures w14:val="none"/>
        </w:rPr>
        <w:t xml:space="preserve"> τις συγκεκριμένες κατηγορίες υλικών.</w:t>
      </w:r>
    </w:p>
    <w:p w14:paraId="42910D91" w14:textId="77777777" w:rsidR="007A7BC6" w:rsidRPr="007A7BC6" w:rsidRDefault="007A7BC6" w:rsidP="007A7BC6">
      <w:pPr>
        <w:keepNext/>
        <w:keepLines/>
        <w:widowControl w:val="0"/>
        <w:numPr>
          <w:ilvl w:val="1"/>
          <w:numId w:val="0"/>
        </w:numPr>
        <w:autoSpaceDE w:val="0"/>
        <w:autoSpaceDN w:val="0"/>
        <w:spacing w:before="160" w:after="80" w:line="360" w:lineRule="atLeast"/>
        <w:ind w:left="1080" w:right="0" w:hanging="360"/>
        <w:jc w:val="both"/>
        <w:outlineLvl w:val="2"/>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lang w:val="el-GR"/>
          <w14:ligatures w14:val="none"/>
        </w:rPr>
        <w:t>Αριθμός συνδρομητών και υπολογισμός καλωδίων.</w:t>
      </w:r>
    </w:p>
    <w:p w14:paraId="51C24D97" w14:textId="77777777" w:rsidR="007A7BC6" w:rsidRPr="00073E3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Με βάση την ανάλυση των στοιχείων των αστικών κέντρων που παρουσιάζονται στο «</w:t>
      </w:r>
      <w:r w:rsidRPr="007A7BC6">
        <w:rPr>
          <w:rFonts w:ascii="Calibri" w:eastAsia="Calibri" w:hAnsi="Calibri" w:cs="Calibri"/>
          <w:bCs w:val="0"/>
          <w:kern w:val="0"/>
          <w:sz w:val="24"/>
          <w:szCs w:val="24"/>
          <w14:ligatures w14:val="none"/>
        </w:rPr>
        <w:t>Central</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Office</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Data</w:t>
      </w:r>
      <w:r w:rsidRPr="007A7BC6">
        <w:rPr>
          <w:rFonts w:ascii="Calibri" w:eastAsia="Calibri" w:hAnsi="Calibri" w:cs="Calibri"/>
          <w:bCs w:val="0"/>
          <w:kern w:val="0"/>
          <w:sz w:val="24"/>
          <w:szCs w:val="24"/>
          <w:lang w:val="el-GR"/>
          <w14:ligatures w14:val="none"/>
        </w:rPr>
        <w:t xml:space="preserve">» καθώς και στον υπολογισμό των καλωδίων στο </w:t>
      </w:r>
      <w:r w:rsidRPr="007A7BC6">
        <w:rPr>
          <w:rFonts w:ascii="Calibri" w:eastAsia="Calibri" w:hAnsi="Calibri" w:cs="Calibri"/>
          <w:bCs w:val="0"/>
          <w:kern w:val="0"/>
          <w:sz w:val="24"/>
          <w:szCs w:val="24"/>
          <w14:ligatures w14:val="none"/>
        </w:rPr>
        <w:t>Trench</w:t>
      </w:r>
      <w:r w:rsidRPr="007A7BC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Deployment</w:t>
      </w:r>
      <w:r w:rsidRPr="007A7BC6">
        <w:rPr>
          <w:rFonts w:ascii="Calibri" w:eastAsia="Calibri" w:hAnsi="Calibri" w:cs="Calibri"/>
          <w:bCs w:val="0"/>
          <w:kern w:val="0"/>
          <w:sz w:val="24"/>
          <w:szCs w:val="24"/>
          <w:lang w:val="el-GR"/>
          <w14:ligatures w14:val="none"/>
        </w:rPr>
        <w:t xml:space="preserve"> έχουμε να σημειώσουμε τα ακόλουθα:</w:t>
      </w:r>
    </w:p>
    <w:p w14:paraId="15461C7E" w14:textId="3A396C6C" w:rsidR="0049204B" w:rsidRPr="00073E36" w:rsidRDefault="0049204B" w:rsidP="007A7BC6">
      <w:pPr>
        <w:widowControl w:val="0"/>
        <w:autoSpaceDE w:val="0"/>
        <w:autoSpaceDN w:val="0"/>
        <w:spacing w:after="240" w:line="360" w:lineRule="atLeast"/>
        <w:ind w:left="0" w:right="0"/>
        <w:jc w:val="both"/>
        <w:rPr>
          <w:rFonts w:ascii="Calibri" w:eastAsia="Calibri" w:hAnsi="Calibri" w:cs="Calibri"/>
          <w:bCs w:val="0"/>
          <w:kern w:val="0"/>
          <w:sz w:val="24"/>
          <w:szCs w:val="24"/>
          <w14:ligatures w14:val="none"/>
        </w:rPr>
      </w:pPr>
      <w:r>
        <w:rPr>
          <w:rFonts w:ascii="Calibri" w:eastAsia="Calibri" w:hAnsi="Calibri" w:cs="Calibri"/>
          <w:bCs w:val="0"/>
          <w:kern w:val="0"/>
          <w:sz w:val="24"/>
          <w:szCs w:val="24"/>
          <w14:ligatures w14:val="none"/>
        </w:rPr>
        <w:sym w:font="Wingdings" w:char="F022"/>
      </w:r>
    </w:p>
    <w:p w14:paraId="66468AD5" w14:textId="77777777" w:rsidR="007A7BC6" w:rsidRPr="007A7BC6" w:rsidRDefault="007A7BC6" w:rsidP="007A7BC6">
      <w:pPr>
        <w:keepNext/>
        <w:keepLines/>
        <w:widowControl w:val="0"/>
        <w:autoSpaceDE w:val="0"/>
        <w:autoSpaceDN w:val="0"/>
        <w:spacing w:before="160" w:after="80" w:line="360" w:lineRule="atLeast"/>
        <w:ind w:left="360" w:right="0" w:hanging="360"/>
        <w:jc w:val="both"/>
        <w:outlineLvl w:val="1"/>
        <w:rPr>
          <w:rFonts w:asciiTheme="majorHAnsi" w:eastAsiaTheme="majorEastAsia" w:hAnsiTheme="majorHAnsi" w:cstheme="majorBidi"/>
          <w:bCs w:val="0"/>
          <w:color w:val="0F4761" w:themeColor="accent1" w:themeShade="BF"/>
          <w:kern w:val="0"/>
          <w:sz w:val="28"/>
          <w:szCs w:val="28"/>
          <w:lang w:val="el-GR"/>
          <w14:ligatures w14:val="none"/>
        </w:rPr>
      </w:pPr>
      <w:proofErr w:type="spellStart"/>
      <w:r w:rsidRPr="007A7BC6">
        <w:rPr>
          <w:rFonts w:asciiTheme="majorHAnsi" w:eastAsiaTheme="majorEastAsia" w:hAnsiTheme="majorHAnsi" w:cstheme="majorBidi"/>
          <w:bCs w:val="0"/>
          <w:color w:val="0F4761" w:themeColor="accent1" w:themeShade="BF"/>
          <w:kern w:val="0"/>
          <w:sz w:val="28"/>
          <w:szCs w:val="28"/>
          <w:lang w:val="el-GR"/>
          <w14:ligatures w14:val="none"/>
        </w:rPr>
        <w:t>Μοντελοποίηση</w:t>
      </w:r>
      <w:proofErr w:type="spellEnd"/>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 υπηρεσιών πρόσβασης </w:t>
      </w:r>
      <w:r w:rsidRPr="007A7BC6">
        <w:rPr>
          <w:rFonts w:asciiTheme="majorHAnsi" w:eastAsiaTheme="majorEastAsia" w:hAnsiTheme="majorHAnsi" w:cstheme="majorBidi"/>
          <w:bCs w:val="0"/>
          <w:color w:val="0F4761" w:themeColor="accent1" w:themeShade="BF"/>
          <w:kern w:val="0"/>
          <w:sz w:val="28"/>
          <w:szCs w:val="28"/>
          <w14:ligatures w14:val="none"/>
        </w:rPr>
        <w:t>f</w:t>
      </w:r>
      <w:proofErr w:type="spellStart"/>
      <w:r w:rsidRPr="007A7BC6">
        <w:rPr>
          <w:rFonts w:asciiTheme="majorHAnsi" w:eastAsiaTheme="majorEastAsia" w:hAnsiTheme="majorHAnsi" w:cstheme="majorBidi"/>
          <w:bCs w:val="0"/>
          <w:color w:val="0F4761" w:themeColor="accent1" w:themeShade="BF"/>
          <w:kern w:val="0"/>
          <w:sz w:val="28"/>
          <w:szCs w:val="28"/>
          <w:lang w:val="el-GR"/>
          <w14:ligatures w14:val="none"/>
        </w:rPr>
        <w:t>loorbox</w:t>
      </w:r>
      <w:proofErr w:type="spellEnd"/>
    </w:p>
    <w:p w14:paraId="3B48EB1D" w14:textId="77777777" w:rsidR="007A7BC6" w:rsidRPr="007A7BC6" w:rsidRDefault="007A7BC6" w:rsidP="007A7BC6">
      <w:pPr>
        <w:widowControl w:val="0"/>
        <w:autoSpaceDE w:val="0"/>
        <w:autoSpaceDN w:val="0"/>
        <w:spacing w:after="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Αναφορικά με τον υπολογισμό του τέλος πρόσβασης σε </w:t>
      </w:r>
      <w:r w:rsidRPr="007A7BC6">
        <w:rPr>
          <w:rFonts w:ascii="Calibri" w:eastAsia="Calibri" w:hAnsi="Calibri" w:cs="Calibri"/>
          <w:bCs w:val="0"/>
          <w:kern w:val="0"/>
          <w:sz w:val="24"/>
          <w:szCs w:val="24"/>
          <w14:ligatures w14:val="none"/>
        </w:rPr>
        <w:t>f</w:t>
      </w:r>
      <w:proofErr w:type="spellStart"/>
      <w:r w:rsidRPr="007A7BC6">
        <w:rPr>
          <w:rFonts w:ascii="Calibri" w:eastAsia="Calibri" w:hAnsi="Calibri" w:cs="Calibri"/>
          <w:bCs w:val="0"/>
          <w:kern w:val="0"/>
          <w:sz w:val="24"/>
          <w:szCs w:val="24"/>
          <w:lang w:val="el-GR"/>
          <w14:ligatures w14:val="none"/>
        </w:rPr>
        <w:t>loorbox</w:t>
      </w:r>
      <w:proofErr w:type="spellEnd"/>
      <w:r w:rsidRPr="007A7BC6">
        <w:rPr>
          <w:rFonts w:ascii="Calibri" w:eastAsia="Calibri" w:hAnsi="Calibri" w:cs="Calibri"/>
          <w:bCs w:val="0"/>
          <w:kern w:val="0"/>
          <w:sz w:val="24"/>
          <w:szCs w:val="24"/>
          <w:lang w:val="el-GR"/>
          <w14:ligatures w14:val="none"/>
        </w:rPr>
        <w:t xml:space="preserve"> για τα κτίρια με </w:t>
      </w:r>
      <w:proofErr w:type="spellStart"/>
      <w:r w:rsidRPr="007A7BC6">
        <w:rPr>
          <w:rFonts w:ascii="Calibri" w:eastAsia="Calibri" w:hAnsi="Calibri" w:cs="Calibri"/>
          <w:bCs w:val="0"/>
          <w:kern w:val="0"/>
          <w:sz w:val="24"/>
          <w:szCs w:val="24"/>
          <w:lang w:val="el-GR"/>
          <w14:ligatures w14:val="none"/>
        </w:rPr>
        <w:t>ενδοκτιριακή</w:t>
      </w:r>
      <w:proofErr w:type="spellEnd"/>
      <w:r w:rsidRPr="007A7BC6">
        <w:rPr>
          <w:rFonts w:ascii="Calibri" w:eastAsia="Calibri" w:hAnsi="Calibri" w:cs="Calibri"/>
          <w:bCs w:val="0"/>
          <w:kern w:val="0"/>
          <w:sz w:val="24"/>
          <w:szCs w:val="24"/>
          <w:lang w:val="el-GR"/>
          <w14:ligatures w14:val="none"/>
        </w:rPr>
        <w:t xml:space="preserve"> υποδομή, για την περίπτωση όπου τις σχετικές υλοποιήσεις αναλαμβάνει ο </w:t>
      </w:r>
      <w:proofErr w:type="spellStart"/>
      <w:r w:rsidRPr="007A7BC6">
        <w:rPr>
          <w:rFonts w:ascii="Calibri" w:eastAsia="Calibri" w:hAnsi="Calibri" w:cs="Calibri"/>
          <w:bCs w:val="0"/>
          <w:kern w:val="0"/>
          <w:sz w:val="24"/>
          <w:szCs w:val="24"/>
          <w:lang w:val="el-GR"/>
          <w14:ligatures w14:val="none"/>
        </w:rPr>
        <w:t>Πάροχος</w:t>
      </w:r>
      <w:proofErr w:type="spellEnd"/>
      <w:r w:rsidRPr="007A7BC6">
        <w:rPr>
          <w:rFonts w:ascii="Calibri" w:eastAsia="Calibri" w:hAnsi="Calibri" w:cs="Calibri"/>
          <w:bCs w:val="0"/>
          <w:kern w:val="0"/>
          <w:sz w:val="24"/>
          <w:szCs w:val="24"/>
          <w:lang w:val="el-GR"/>
          <w14:ligatures w14:val="none"/>
        </w:rPr>
        <w:t xml:space="preserve"> Πρόσβασης, η ΕΕΤΤ χρησιμοποιεί το ίδιο κόστος για το </w:t>
      </w:r>
      <w:proofErr w:type="spellStart"/>
      <w:r w:rsidRPr="007A7BC6">
        <w:rPr>
          <w:rFonts w:ascii="Calibri" w:eastAsia="Calibri" w:hAnsi="Calibri" w:cs="Calibri"/>
          <w:bCs w:val="0"/>
          <w:kern w:val="0"/>
          <w:sz w:val="24"/>
          <w:szCs w:val="24"/>
          <w14:ligatures w14:val="none"/>
        </w:rPr>
        <w:t>floorbox</w:t>
      </w:r>
      <w:proofErr w:type="spellEnd"/>
      <w:r w:rsidRPr="007A7BC6">
        <w:rPr>
          <w:rFonts w:ascii="Calibri" w:eastAsia="Calibri" w:hAnsi="Calibri" w:cs="Calibri"/>
          <w:bCs w:val="0"/>
          <w:kern w:val="0"/>
          <w:sz w:val="24"/>
          <w:szCs w:val="24"/>
          <w:lang w:val="el-GR"/>
          <w14:ligatures w14:val="none"/>
        </w:rPr>
        <w:t xml:space="preserve"> για τις υπηρεσίες προ και μετά την έκδοση της νέας ΚΥΑ (χωρίς το </w:t>
      </w:r>
      <w:r w:rsidRPr="007A7BC6">
        <w:rPr>
          <w:rFonts w:ascii="Calibri" w:eastAsia="Calibri" w:hAnsi="Calibri" w:cs="Calibri"/>
          <w:bCs w:val="0"/>
          <w:kern w:val="0"/>
          <w:sz w:val="24"/>
          <w:szCs w:val="24"/>
          <w14:ligatures w14:val="none"/>
        </w:rPr>
        <w:t>BMO</w:t>
      </w:r>
      <w:r w:rsidRPr="007A7BC6">
        <w:rPr>
          <w:rFonts w:ascii="Calibri" w:eastAsia="Calibri" w:hAnsi="Calibri" w:cs="Calibri"/>
          <w:bCs w:val="0"/>
          <w:kern w:val="0"/>
          <w:sz w:val="24"/>
          <w:szCs w:val="24"/>
          <w:lang w:val="el-GR"/>
          <w14:ligatures w14:val="none"/>
        </w:rPr>
        <w:t xml:space="preserve">) των 170€ (έτος βάσης 2023). Το κόστος του </w:t>
      </w:r>
      <w:proofErr w:type="spellStart"/>
      <w:r w:rsidRPr="007A7BC6">
        <w:rPr>
          <w:rFonts w:ascii="Calibri" w:eastAsia="Calibri" w:hAnsi="Calibri" w:cs="Calibri"/>
          <w:bCs w:val="0"/>
          <w:kern w:val="0"/>
          <w:sz w:val="24"/>
          <w:szCs w:val="24"/>
          <w14:ligatures w14:val="none"/>
        </w:rPr>
        <w:t>floorbox</w:t>
      </w:r>
      <w:proofErr w:type="spellEnd"/>
      <w:r w:rsidRPr="007A7BC6">
        <w:rPr>
          <w:rFonts w:ascii="Calibri" w:eastAsia="Calibri" w:hAnsi="Calibri" w:cs="Calibri"/>
          <w:bCs w:val="0"/>
          <w:kern w:val="0"/>
          <w:sz w:val="24"/>
          <w:szCs w:val="24"/>
          <w:lang w:val="el-GR"/>
          <w14:ligatures w14:val="none"/>
        </w:rPr>
        <w:t xml:space="preserve"> προ &amp; μετά ΚΥΑ δεν μπορεί να είναι ταυτόσημο, καθώς σύμφωνα με την νέα ΚΥΑ (παρ. Α.1.2.10) «…</w:t>
      </w:r>
      <w:r w:rsidRPr="007A7BC6">
        <w:rPr>
          <w:rFonts w:ascii="Calibri" w:eastAsia="Calibri" w:hAnsi="Calibri" w:cs="Calibri"/>
          <w:bCs w:val="0"/>
          <w:i/>
          <w:iCs/>
          <w:kern w:val="0"/>
          <w:sz w:val="24"/>
          <w:szCs w:val="24"/>
          <w:lang w:val="el-GR"/>
          <w14:ligatures w14:val="none"/>
        </w:rPr>
        <w:t xml:space="preserve">ο σχεδιασμός θα προβλέπει ότι κάθε γραμμή μεταφοράς (καλώδιο) οπτικών ινών της εσωτερικής εγκατάστασης θα έχει πλήθος ινών ίσο με το διπλάσιο του πλήθους των συνδρομητικών </w:t>
      </w:r>
      <w:proofErr w:type="spellStart"/>
      <w:r w:rsidRPr="007A7BC6">
        <w:rPr>
          <w:rFonts w:ascii="Calibri" w:eastAsia="Calibri" w:hAnsi="Calibri" w:cs="Calibri"/>
          <w:bCs w:val="0"/>
          <w:i/>
          <w:iCs/>
          <w:kern w:val="0"/>
          <w:sz w:val="24"/>
          <w:szCs w:val="24"/>
          <w:lang w:val="el-GR"/>
          <w14:ligatures w14:val="none"/>
        </w:rPr>
        <w:t>διεπαφών</w:t>
      </w:r>
      <w:proofErr w:type="spellEnd"/>
      <w:r w:rsidRPr="007A7BC6">
        <w:rPr>
          <w:rFonts w:ascii="Calibri" w:eastAsia="Calibri" w:hAnsi="Calibri" w:cs="Calibri"/>
          <w:bCs w:val="0"/>
          <w:i/>
          <w:iCs/>
          <w:kern w:val="0"/>
          <w:sz w:val="24"/>
          <w:szCs w:val="24"/>
          <w:lang w:val="el-GR"/>
          <w14:ligatures w14:val="none"/>
        </w:rPr>
        <w:t xml:space="preserve"> που εξυπηρετούνται από αυτή τη γραμμή μεταφοράς (καλώδιο) και ότι κάθε κατανεμητής θα έχει επαρκή χώρο για τον τερματισμό και διαχείριση όλων των οπτικών ινών όλων των καλωδίων που καταλήγουν σε αυτόν</w:t>
      </w:r>
      <w:r w:rsidRPr="007A7BC6">
        <w:rPr>
          <w:rFonts w:ascii="Calibri" w:eastAsia="Calibri" w:hAnsi="Calibri" w:cs="Calibri"/>
          <w:bCs w:val="0"/>
          <w:kern w:val="0"/>
          <w:sz w:val="24"/>
          <w:szCs w:val="24"/>
          <w:lang w:val="el-GR"/>
          <w14:ligatures w14:val="none"/>
        </w:rPr>
        <w:t xml:space="preserve">», σχεδιασμός που διέφερε πριν την έκδοση της, όπου οι </w:t>
      </w:r>
      <w:proofErr w:type="spellStart"/>
      <w:r w:rsidRPr="007A7BC6">
        <w:rPr>
          <w:rFonts w:ascii="Calibri" w:eastAsia="Calibri" w:hAnsi="Calibri" w:cs="Calibri"/>
          <w:bCs w:val="0"/>
          <w:kern w:val="0"/>
          <w:sz w:val="24"/>
          <w:szCs w:val="24"/>
          <w:lang w:val="el-GR"/>
          <w14:ligatures w14:val="none"/>
        </w:rPr>
        <w:t>πάροχοι</w:t>
      </w:r>
      <w:proofErr w:type="spellEnd"/>
      <w:r w:rsidRPr="007A7BC6">
        <w:rPr>
          <w:rFonts w:ascii="Calibri" w:eastAsia="Calibri" w:hAnsi="Calibri" w:cs="Calibri"/>
          <w:bCs w:val="0"/>
          <w:kern w:val="0"/>
          <w:sz w:val="24"/>
          <w:szCs w:val="24"/>
          <w:lang w:val="el-GR"/>
          <w14:ligatures w14:val="none"/>
        </w:rPr>
        <w:t xml:space="preserve"> εγκαθιστούσαν αριθμό ινών ίσο με το σύνολο των ιδιοκτησιών. Συνεπώς από τα επιμέρους κόστη που συνθέτουν το κόστος του </w:t>
      </w:r>
      <w:proofErr w:type="spellStart"/>
      <w:r w:rsidRPr="007A7BC6">
        <w:rPr>
          <w:rFonts w:ascii="Calibri" w:eastAsia="Calibri" w:hAnsi="Calibri" w:cs="Calibri"/>
          <w:bCs w:val="0"/>
          <w:kern w:val="0"/>
          <w:sz w:val="24"/>
          <w:szCs w:val="24"/>
          <w14:ligatures w14:val="none"/>
        </w:rPr>
        <w:t>floorbox</w:t>
      </w:r>
      <w:proofErr w:type="spellEnd"/>
      <w:r w:rsidRPr="007A7BC6">
        <w:rPr>
          <w:rFonts w:ascii="Calibri" w:eastAsia="Calibri" w:hAnsi="Calibri" w:cs="Calibri"/>
          <w:bCs w:val="0"/>
          <w:kern w:val="0"/>
          <w:sz w:val="24"/>
          <w:szCs w:val="24"/>
          <w:lang w:val="el-GR"/>
          <w14:ligatures w14:val="none"/>
        </w:rPr>
        <w:t xml:space="preserve"> το κόστος με βάση την νέα ΚΥΑ θα πρέπει να διαφοροποιείται ως προς τα παρακάτω:</w:t>
      </w:r>
    </w:p>
    <w:p w14:paraId="77709A4A" w14:textId="77777777" w:rsidR="007A7BC6" w:rsidRPr="007A7BC6" w:rsidRDefault="007A7BC6" w:rsidP="00034FBB">
      <w:pPr>
        <w:widowControl w:val="0"/>
        <w:numPr>
          <w:ilvl w:val="0"/>
          <w:numId w:val="3"/>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lastRenderedPageBreak/>
        <w:t xml:space="preserve">διπλάσιος αριθμός των ινών που εγκαθίστανται για την καλωδίωση του κτιρίου και μεγαλύτερο κόστος εγκατάστασης (λόγω </w:t>
      </w:r>
      <w:r w:rsidRPr="007A7BC6">
        <w:rPr>
          <w:rFonts w:ascii="Calibri" w:eastAsia="Calibri" w:hAnsi="Calibri" w:cs="Calibri"/>
          <w:bCs w:val="0"/>
          <w:kern w:val="0"/>
          <w:sz w:val="24"/>
          <w:szCs w:val="24"/>
          <w14:ligatures w14:val="none"/>
        </w:rPr>
        <w:t>splicing</w:t>
      </w:r>
      <w:r w:rsidRPr="007A7BC6">
        <w:rPr>
          <w:rFonts w:ascii="Calibri" w:eastAsia="Calibri" w:hAnsi="Calibri" w:cs="Calibri"/>
          <w:bCs w:val="0"/>
          <w:kern w:val="0"/>
          <w:sz w:val="24"/>
          <w:szCs w:val="24"/>
          <w:lang w:val="el-GR"/>
          <w14:ligatures w14:val="none"/>
        </w:rPr>
        <w:t xml:space="preserve">) </w:t>
      </w:r>
    </w:p>
    <w:p w14:paraId="35DBF228" w14:textId="77777777" w:rsidR="007A7BC6" w:rsidRPr="007A7BC6" w:rsidRDefault="007A7BC6" w:rsidP="00034FBB">
      <w:pPr>
        <w:widowControl w:val="0"/>
        <w:numPr>
          <w:ilvl w:val="0"/>
          <w:numId w:val="3"/>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χωρητικότητα </w:t>
      </w:r>
      <w:proofErr w:type="spellStart"/>
      <w:r w:rsidRPr="007A7BC6">
        <w:rPr>
          <w:rFonts w:ascii="Calibri" w:eastAsia="Calibri" w:hAnsi="Calibri" w:cs="Calibri"/>
          <w:bCs w:val="0"/>
          <w:kern w:val="0"/>
          <w:sz w:val="24"/>
          <w:szCs w:val="24"/>
          <w14:ligatures w14:val="none"/>
        </w:rPr>
        <w:t>floorbox</w:t>
      </w:r>
      <w:proofErr w:type="spellEnd"/>
      <w:r w:rsidRPr="007A7BC6">
        <w:rPr>
          <w:rFonts w:ascii="Calibri" w:eastAsia="Calibri" w:hAnsi="Calibri" w:cs="Calibri"/>
          <w:bCs w:val="0"/>
          <w:kern w:val="0"/>
          <w:sz w:val="24"/>
          <w:szCs w:val="24"/>
          <w:lang w:val="el-GR"/>
          <w14:ligatures w14:val="none"/>
        </w:rPr>
        <w:t xml:space="preserve"> x2</w:t>
      </w:r>
    </w:p>
    <w:p w14:paraId="51E5CA50" w14:textId="77777777" w:rsidR="007A7BC6" w:rsidRPr="006647F9" w:rsidRDefault="007A7BC6" w:rsidP="00034FBB">
      <w:pPr>
        <w:widowControl w:val="0"/>
        <w:numPr>
          <w:ilvl w:val="0"/>
          <w:numId w:val="3"/>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6647F9">
        <w:rPr>
          <w:rFonts w:ascii="Calibri" w:eastAsia="Calibri" w:hAnsi="Calibri" w:cs="Calibri"/>
          <w:bCs w:val="0"/>
          <w:kern w:val="0"/>
          <w:sz w:val="24"/>
          <w:szCs w:val="24"/>
          <w:lang w:val="el-GR"/>
          <w14:ligatures w14:val="none"/>
        </w:rPr>
        <w:t xml:space="preserve">τερματισμός στο ΚΚΚ (Κεντρικό Κατανεμητή Κτιρίου - </w:t>
      </w:r>
      <w:r w:rsidRPr="006647F9">
        <w:rPr>
          <w:rFonts w:ascii="Calibri" w:eastAsia="Calibri" w:hAnsi="Calibri" w:cs="Calibri"/>
          <w:bCs w:val="0"/>
          <w:kern w:val="0"/>
          <w:sz w:val="24"/>
          <w:szCs w:val="24"/>
          <w14:ligatures w14:val="none"/>
        </w:rPr>
        <w:t>BMO</w:t>
      </w:r>
      <w:r w:rsidRPr="006647F9">
        <w:rPr>
          <w:rFonts w:ascii="Calibri" w:eastAsia="Calibri" w:hAnsi="Calibri" w:cs="Calibri"/>
          <w:bCs w:val="0"/>
          <w:kern w:val="0"/>
          <w:sz w:val="24"/>
          <w:szCs w:val="24"/>
          <w:lang w:val="el-GR"/>
          <w14:ligatures w14:val="none"/>
        </w:rPr>
        <w:t>)</w:t>
      </w:r>
    </w:p>
    <w:p w14:paraId="778F3A79" w14:textId="4CEFCCF1" w:rsidR="007A7BC6" w:rsidRPr="00034FBB"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6647F9">
        <w:rPr>
          <w:rFonts w:ascii="Calibri" w:eastAsia="Calibri" w:hAnsi="Calibri" w:cs="Calibri"/>
          <w:bCs w:val="0"/>
          <w:kern w:val="0"/>
          <w:sz w:val="24"/>
          <w:szCs w:val="24"/>
          <w:lang w:val="el-GR"/>
          <w14:ligatures w14:val="none"/>
        </w:rPr>
        <w:t>Η διαφορά των παραπάνω υλικών και εργασιών ανέρχεται για το έτος βάσης 2023 στα</w:t>
      </w:r>
      <w:r w:rsidR="00D875DA" w:rsidRPr="00D875DA">
        <w:rPr>
          <w:rFonts w:ascii="Calibri" w:eastAsia="Calibri" w:hAnsi="Calibri" w:cs="Calibri"/>
          <w:bCs w:val="0"/>
          <w:kern w:val="0"/>
          <w:sz w:val="24"/>
          <w:szCs w:val="24"/>
          <w:lang w:val="el-GR"/>
          <w14:ligatures w14:val="none"/>
        </w:rPr>
        <w:t xml:space="preserve"> </w:t>
      </w:r>
      <w:r w:rsidR="00D875DA">
        <w:rPr>
          <w:rFonts w:ascii="Calibri" w:eastAsia="Calibri" w:hAnsi="Calibri" w:cs="Calibri"/>
          <w:bCs w:val="0"/>
          <w:kern w:val="0"/>
          <w:sz w:val="24"/>
          <w:szCs w:val="24"/>
          <w:lang w:val="el-GR"/>
          <w14:ligatures w14:val="none"/>
        </w:rPr>
        <w:sym w:font="Wingdings" w:char="F022"/>
      </w:r>
      <w:r w:rsidRPr="006647F9">
        <w:rPr>
          <w:rFonts w:ascii="Calibri" w:eastAsia="Calibri" w:hAnsi="Calibri" w:cs="Calibri"/>
          <w:bCs w:val="0"/>
          <w:kern w:val="0"/>
          <w:sz w:val="24"/>
          <w:szCs w:val="24"/>
          <w:lang w:val="el-GR"/>
          <w14:ligatures w14:val="none"/>
        </w:rPr>
        <w:t xml:space="preserve">  περίπου ανά </w:t>
      </w:r>
      <w:proofErr w:type="spellStart"/>
      <w:r w:rsidRPr="006647F9">
        <w:rPr>
          <w:rFonts w:ascii="Calibri" w:eastAsia="Calibri" w:hAnsi="Calibri" w:cs="Calibri"/>
          <w:bCs w:val="0"/>
          <w:kern w:val="0"/>
          <w:sz w:val="24"/>
          <w:szCs w:val="24"/>
          <w14:ligatures w14:val="none"/>
        </w:rPr>
        <w:t>floorbox</w:t>
      </w:r>
      <w:proofErr w:type="spellEnd"/>
      <w:r w:rsidRPr="006647F9">
        <w:rPr>
          <w:rFonts w:ascii="Calibri" w:eastAsia="Calibri" w:hAnsi="Calibri" w:cs="Calibri"/>
          <w:bCs w:val="0"/>
          <w:kern w:val="0"/>
          <w:sz w:val="24"/>
          <w:szCs w:val="24"/>
          <w:lang w:val="el-GR"/>
          <w14:ligatures w14:val="none"/>
        </w:rPr>
        <w:t xml:space="preserve"> (χωρίς τον ΚΚ – ΒΜΟ). Η διαφορά αυτή επηρεάζει το τελικό μηνιαίο κόστος της υπηρεσίας και θα πρέπει να ενσωματωθεί στους σχετικούς υπολογισμούς.  Δηλαδή το κόστος </w:t>
      </w:r>
      <w:proofErr w:type="spellStart"/>
      <w:r w:rsidRPr="006647F9">
        <w:rPr>
          <w:rFonts w:ascii="Calibri" w:eastAsia="Calibri" w:hAnsi="Calibri" w:cs="Calibri"/>
          <w:bCs w:val="0"/>
          <w:kern w:val="0"/>
          <w:sz w:val="24"/>
          <w:szCs w:val="24"/>
          <w14:ligatures w14:val="none"/>
        </w:rPr>
        <w:t>floorbox</w:t>
      </w:r>
      <w:proofErr w:type="spellEnd"/>
      <w:r w:rsidRPr="006647F9">
        <w:rPr>
          <w:rFonts w:ascii="Calibri" w:eastAsia="Calibri" w:hAnsi="Calibri" w:cs="Calibri"/>
          <w:bCs w:val="0"/>
          <w:kern w:val="0"/>
          <w:sz w:val="24"/>
          <w:szCs w:val="24"/>
          <w:lang w:val="el-GR"/>
          <w14:ligatures w14:val="none"/>
        </w:rPr>
        <w:t xml:space="preserve"> για την νέα ΚΥΑ να ανέρχεται στα </w:t>
      </w:r>
      <w:r w:rsidR="00D875DA" w:rsidRPr="00D875DA">
        <w:rPr>
          <w:rFonts w:ascii="Calibri" w:eastAsia="Calibri" w:hAnsi="Calibri" w:cs="Calibri"/>
          <w:bCs w:val="0"/>
          <w:kern w:val="0"/>
          <w:sz w:val="24"/>
          <w:szCs w:val="24"/>
          <w:lang w:val="el-GR"/>
          <w14:ligatures w14:val="none"/>
        </w:rPr>
        <w:t xml:space="preserve"> </w:t>
      </w:r>
      <w:r w:rsidR="00D875DA">
        <w:rPr>
          <w:rFonts w:ascii="Calibri" w:eastAsia="Calibri" w:hAnsi="Calibri" w:cs="Calibri"/>
          <w:bCs w:val="0"/>
          <w:kern w:val="0"/>
          <w:sz w:val="24"/>
          <w:szCs w:val="24"/>
          <w:lang w:val="el-GR"/>
          <w14:ligatures w14:val="none"/>
        </w:rPr>
        <w:sym w:font="Wingdings" w:char="F022"/>
      </w:r>
      <w:r w:rsidR="00D875DA" w:rsidRPr="00D875DA">
        <w:rPr>
          <w:rFonts w:ascii="Calibri" w:eastAsia="Calibri" w:hAnsi="Calibri" w:cs="Calibri"/>
          <w:bCs w:val="0"/>
          <w:kern w:val="0"/>
          <w:sz w:val="24"/>
          <w:szCs w:val="24"/>
          <w:lang w:val="el-GR"/>
          <w14:ligatures w14:val="none"/>
        </w:rPr>
        <w:t xml:space="preserve"> </w:t>
      </w:r>
      <w:r w:rsidRPr="006647F9">
        <w:rPr>
          <w:rFonts w:ascii="Calibri" w:eastAsia="Calibri" w:hAnsi="Calibri" w:cs="Calibri"/>
          <w:bCs w:val="0"/>
          <w:kern w:val="0"/>
          <w:sz w:val="24"/>
          <w:szCs w:val="24"/>
          <w:lang w:val="el-GR"/>
          <w14:ligatures w14:val="none"/>
        </w:rPr>
        <w:t xml:space="preserve"> (αντί του 170€). Όσον αφορά το πρόσθετο κόστος του ΒΜΟ η ΕΕΤΤ λαμβάνει υπόψη της μόνο το κόστος του εξοπλισμού του ΒΜΟ των 45€, και όχι το κόστος εργασιών εγκατάστασης του ΒΜΟ που ανέρχεται στα </w:t>
      </w:r>
      <w:r w:rsidR="00D875DA">
        <w:rPr>
          <w:rFonts w:ascii="Calibri" w:eastAsia="Calibri" w:hAnsi="Calibri" w:cs="Calibri"/>
          <w:bCs w:val="0"/>
          <w:kern w:val="0"/>
          <w:sz w:val="24"/>
          <w:szCs w:val="24"/>
          <w:lang w:val="el-GR"/>
          <w14:ligatures w14:val="none"/>
        </w:rPr>
        <w:sym w:font="Wingdings" w:char="F022"/>
      </w:r>
      <w:r w:rsidR="00CC4FBC" w:rsidRPr="00CC4FBC">
        <w:rPr>
          <w:rFonts w:ascii="Calibri" w:eastAsia="Calibri" w:hAnsi="Calibri" w:cs="Calibri"/>
          <w:bCs w:val="0"/>
          <w:kern w:val="0"/>
          <w:sz w:val="24"/>
          <w:szCs w:val="24"/>
          <w:lang w:val="el-GR"/>
          <w14:ligatures w14:val="none"/>
        </w:rPr>
        <w:t xml:space="preserve"> </w:t>
      </w:r>
      <w:r w:rsidRPr="006647F9">
        <w:rPr>
          <w:rFonts w:ascii="Calibri" w:eastAsia="Calibri" w:hAnsi="Calibri" w:cs="Calibri"/>
          <w:bCs w:val="0"/>
          <w:kern w:val="0"/>
          <w:sz w:val="24"/>
          <w:szCs w:val="24"/>
          <w:lang w:val="el-GR"/>
          <w14:ligatures w14:val="none"/>
        </w:rPr>
        <w:t xml:space="preserve">καθώς και το κόστος </w:t>
      </w:r>
      <w:proofErr w:type="spellStart"/>
      <w:r w:rsidRPr="006647F9">
        <w:rPr>
          <w:rFonts w:ascii="Calibri" w:eastAsia="Calibri" w:hAnsi="Calibri" w:cs="Calibri"/>
          <w:bCs w:val="0"/>
          <w:kern w:val="0"/>
          <w:sz w:val="24"/>
          <w:szCs w:val="24"/>
          <w:lang w:val="el-GR"/>
          <w14:ligatures w14:val="none"/>
        </w:rPr>
        <w:t>προκαλωδίωση</w:t>
      </w:r>
      <w:proofErr w:type="spellEnd"/>
      <w:r w:rsidRPr="006647F9">
        <w:rPr>
          <w:rFonts w:ascii="Calibri" w:eastAsia="Calibri" w:hAnsi="Calibri" w:cs="Calibri"/>
          <w:bCs w:val="0"/>
          <w:kern w:val="0"/>
          <w:sz w:val="24"/>
          <w:szCs w:val="24"/>
          <w:lang w:val="el-GR"/>
          <w14:ligatures w14:val="none"/>
        </w:rPr>
        <w:t xml:space="preserve"> BEP με το ΒΜΟ που ανέρχεται στα </w:t>
      </w:r>
      <w:r w:rsidR="00D875DA">
        <w:rPr>
          <w:rFonts w:ascii="Calibri" w:eastAsia="Calibri" w:hAnsi="Calibri" w:cs="Calibri"/>
          <w:bCs w:val="0"/>
          <w:kern w:val="0"/>
          <w:sz w:val="24"/>
          <w:szCs w:val="24"/>
          <w:lang w:val="el-GR"/>
          <w14:ligatures w14:val="none"/>
        </w:rPr>
        <w:sym w:font="Wingdings" w:char="F022"/>
      </w:r>
      <w:r w:rsidR="00D875DA" w:rsidRPr="00D875DA">
        <w:rPr>
          <w:rFonts w:ascii="Calibri" w:eastAsia="Calibri" w:hAnsi="Calibri" w:cs="Calibri"/>
          <w:bCs w:val="0"/>
          <w:kern w:val="0"/>
          <w:sz w:val="24"/>
          <w:szCs w:val="24"/>
          <w:lang w:val="el-GR"/>
          <w14:ligatures w14:val="none"/>
        </w:rPr>
        <w:t xml:space="preserve"> </w:t>
      </w:r>
      <w:r w:rsidRPr="006647F9">
        <w:rPr>
          <w:rFonts w:ascii="Calibri" w:eastAsia="Calibri" w:hAnsi="Calibri" w:cs="Calibri"/>
          <w:bCs w:val="0"/>
          <w:kern w:val="0"/>
          <w:sz w:val="24"/>
          <w:szCs w:val="24"/>
          <w:lang w:val="el-GR"/>
          <w14:ligatures w14:val="none"/>
        </w:rPr>
        <w:t xml:space="preserve">κόστος υλικού και </w:t>
      </w:r>
      <w:r w:rsidR="00D875DA">
        <w:rPr>
          <w:rFonts w:ascii="Calibri" w:eastAsia="Calibri" w:hAnsi="Calibri" w:cs="Calibri"/>
          <w:bCs w:val="0"/>
          <w:kern w:val="0"/>
          <w:sz w:val="24"/>
          <w:szCs w:val="24"/>
          <w:lang w:val="el-GR"/>
          <w14:ligatures w14:val="none"/>
        </w:rPr>
        <w:sym w:font="Wingdings" w:char="F022"/>
      </w:r>
      <w:r w:rsidR="00D875DA" w:rsidRPr="00D875DA">
        <w:rPr>
          <w:rFonts w:ascii="Calibri" w:eastAsia="Calibri" w:hAnsi="Calibri" w:cs="Calibri"/>
          <w:bCs w:val="0"/>
          <w:kern w:val="0"/>
          <w:sz w:val="24"/>
          <w:szCs w:val="24"/>
          <w:lang w:val="el-GR"/>
          <w14:ligatures w14:val="none"/>
        </w:rPr>
        <w:t xml:space="preserve"> </w:t>
      </w:r>
      <w:r w:rsidRPr="006647F9">
        <w:rPr>
          <w:rFonts w:ascii="Calibri" w:eastAsia="Calibri" w:hAnsi="Calibri" w:cs="Calibri"/>
          <w:bCs w:val="0"/>
          <w:kern w:val="0"/>
          <w:sz w:val="24"/>
          <w:szCs w:val="24"/>
          <w:lang w:val="el-GR"/>
          <w14:ligatures w14:val="none"/>
        </w:rPr>
        <w:t xml:space="preserve">κόστος εργασιών, σύμφωνα και με τα στοιχεία που έχουμε στείλει στην Επιτροπή σας. Συνολικά το κόστος του ΒΜΟ θα πρέπει να ανέρχεται στα </w:t>
      </w:r>
      <w:r w:rsidR="00D875DA">
        <w:rPr>
          <w:rFonts w:ascii="Calibri" w:eastAsia="Calibri" w:hAnsi="Calibri" w:cs="Calibri"/>
          <w:bCs w:val="0"/>
          <w:kern w:val="0"/>
          <w:sz w:val="24"/>
          <w:szCs w:val="24"/>
          <w:lang w:val="el-GR"/>
          <w14:ligatures w14:val="none"/>
        </w:rPr>
        <w:sym w:font="Wingdings" w:char="F022"/>
      </w:r>
      <w:r w:rsidRPr="006647F9">
        <w:rPr>
          <w:rFonts w:ascii="Calibri" w:eastAsia="Calibri" w:hAnsi="Calibri" w:cs="Calibri"/>
          <w:bCs w:val="0"/>
          <w:kern w:val="0"/>
          <w:sz w:val="24"/>
          <w:szCs w:val="24"/>
          <w:lang w:val="el-GR"/>
          <w14:ligatures w14:val="none"/>
        </w:rPr>
        <w:t>, υπο</w:t>
      </w:r>
      <w:r w:rsidR="00DE0147">
        <w:rPr>
          <w:rFonts w:ascii="Calibri" w:eastAsia="Calibri" w:hAnsi="Calibri" w:cs="Calibri"/>
          <w:bCs w:val="0"/>
          <w:kern w:val="0"/>
          <w:sz w:val="24"/>
          <w:szCs w:val="24"/>
          <w:lang w:val="el-GR"/>
          <w14:ligatures w14:val="none"/>
        </w:rPr>
        <w:t>εκτιμά</w:t>
      </w:r>
      <w:r w:rsidRPr="006647F9">
        <w:rPr>
          <w:rFonts w:ascii="Calibri" w:eastAsia="Calibri" w:hAnsi="Calibri" w:cs="Calibri"/>
          <w:bCs w:val="0"/>
          <w:kern w:val="0"/>
          <w:sz w:val="24"/>
          <w:szCs w:val="24"/>
          <w:lang w:val="el-GR"/>
          <w14:ligatures w14:val="none"/>
        </w:rPr>
        <w:t xml:space="preserve">ται δηλαδή κατά </w:t>
      </w:r>
      <w:r w:rsidR="00D875DA">
        <w:rPr>
          <w:rFonts w:ascii="Calibri" w:eastAsia="Calibri" w:hAnsi="Calibri" w:cs="Calibri"/>
          <w:bCs w:val="0"/>
          <w:kern w:val="0"/>
          <w:sz w:val="24"/>
          <w:szCs w:val="24"/>
          <w:lang w:val="el-GR"/>
          <w14:ligatures w14:val="none"/>
        </w:rPr>
        <w:sym w:font="Wingdings" w:char="F022"/>
      </w:r>
      <w:r w:rsidRPr="006647F9">
        <w:rPr>
          <w:rFonts w:ascii="Calibri" w:eastAsia="Calibri" w:hAnsi="Calibri" w:cs="Calibri"/>
          <w:bCs w:val="0"/>
          <w:kern w:val="0"/>
          <w:sz w:val="24"/>
          <w:szCs w:val="24"/>
          <w:lang w:val="el-GR"/>
          <w14:ligatures w14:val="none"/>
        </w:rPr>
        <w:t>.</w:t>
      </w:r>
    </w:p>
    <w:p w14:paraId="4CC324E0" w14:textId="77777777" w:rsidR="007A7BC6" w:rsidRPr="006647F9" w:rsidRDefault="007A7BC6" w:rsidP="007A7BC6">
      <w:pPr>
        <w:widowControl w:val="0"/>
        <w:autoSpaceDE w:val="0"/>
        <w:autoSpaceDN w:val="0"/>
        <w:spacing w:after="0" w:line="360" w:lineRule="atLeast"/>
        <w:ind w:left="0" w:right="0"/>
        <w:jc w:val="both"/>
        <w:rPr>
          <w:rFonts w:ascii="Calibri" w:eastAsia="Calibri" w:hAnsi="Calibri" w:cs="Calibri"/>
          <w:bCs w:val="0"/>
          <w:kern w:val="0"/>
          <w:sz w:val="24"/>
          <w:szCs w:val="24"/>
          <w:lang w:val="el-GR"/>
          <w14:ligatures w14:val="none"/>
        </w:rPr>
      </w:pPr>
      <w:r w:rsidRPr="006647F9">
        <w:rPr>
          <w:rFonts w:ascii="Calibri" w:eastAsia="Calibri" w:hAnsi="Calibri" w:cs="Calibri"/>
          <w:bCs w:val="0"/>
          <w:kern w:val="0"/>
          <w:sz w:val="24"/>
          <w:szCs w:val="24"/>
          <w:lang w:val="el-GR"/>
          <w14:ligatures w14:val="none"/>
        </w:rPr>
        <w:t xml:space="preserve">Επιπλέον στο μοντέλο της ΕΕΤΤ για τον υπολογισμό του </w:t>
      </w:r>
      <w:proofErr w:type="spellStart"/>
      <w:r w:rsidRPr="006647F9">
        <w:rPr>
          <w:rFonts w:ascii="Calibri" w:eastAsia="Calibri" w:hAnsi="Calibri" w:cs="Calibri"/>
          <w:bCs w:val="0"/>
          <w:kern w:val="0"/>
          <w:sz w:val="24"/>
          <w:szCs w:val="24"/>
          <w14:ligatures w14:val="none"/>
        </w:rPr>
        <w:t>floorbox</w:t>
      </w:r>
      <w:proofErr w:type="spellEnd"/>
      <w:r w:rsidRPr="006647F9">
        <w:rPr>
          <w:rFonts w:ascii="Calibri" w:eastAsia="Calibri" w:hAnsi="Calibri" w:cs="Calibri"/>
          <w:bCs w:val="0"/>
          <w:kern w:val="0"/>
          <w:sz w:val="24"/>
          <w:szCs w:val="24"/>
          <w:lang w:val="el-GR"/>
          <w14:ligatures w14:val="none"/>
        </w:rPr>
        <w:t xml:space="preserve"> με χρήση του Smart </w:t>
      </w:r>
      <w:proofErr w:type="spellStart"/>
      <w:r w:rsidRPr="006647F9">
        <w:rPr>
          <w:rFonts w:ascii="Calibri" w:eastAsia="Calibri" w:hAnsi="Calibri" w:cs="Calibri"/>
          <w:bCs w:val="0"/>
          <w:kern w:val="0"/>
          <w:sz w:val="24"/>
          <w:szCs w:val="24"/>
          <w:lang w:val="el-GR"/>
          <w14:ligatures w14:val="none"/>
        </w:rPr>
        <w:t>Readiness</w:t>
      </w:r>
      <w:proofErr w:type="spellEnd"/>
      <w:r w:rsidRPr="006647F9">
        <w:rPr>
          <w:rFonts w:ascii="Calibri" w:eastAsia="Calibri" w:hAnsi="Calibri" w:cs="Calibri"/>
          <w:bCs w:val="0"/>
          <w:kern w:val="0"/>
          <w:sz w:val="24"/>
          <w:szCs w:val="24"/>
          <w:lang w:val="el-GR"/>
          <w14:ligatures w14:val="none"/>
        </w:rPr>
        <w:t xml:space="preserve"> η ΕΕΤΤ:</w:t>
      </w:r>
    </w:p>
    <w:p w14:paraId="756A7505" w14:textId="26961FAE" w:rsidR="007A7BC6" w:rsidRPr="006647F9" w:rsidRDefault="007A7BC6" w:rsidP="00034FBB">
      <w:pPr>
        <w:widowControl w:val="0"/>
        <w:numPr>
          <w:ilvl w:val="0"/>
          <w:numId w:val="3"/>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6647F9">
        <w:rPr>
          <w:rFonts w:ascii="Calibri" w:eastAsia="Calibri" w:hAnsi="Calibri" w:cs="Calibri"/>
          <w:bCs w:val="0"/>
          <w:kern w:val="0"/>
          <w:sz w:val="24"/>
          <w:szCs w:val="24"/>
          <w:lang w:val="el-GR"/>
          <w14:ligatures w14:val="none"/>
        </w:rPr>
        <w:t xml:space="preserve">υπολογίζει το ετήσιο </w:t>
      </w:r>
      <w:proofErr w:type="spellStart"/>
      <w:r w:rsidRPr="006647F9">
        <w:rPr>
          <w:rFonts w:ascii="Calibri" w:eastAsia="Calibri" w:hAnsi="Calibri" w:cs="Calibri"/>
          <w:bCs w:val="0"/>
          <w:kern w:val="0"/>
          <w:sz w:val="24"/>
          <w:szCs w:val="24"/>
          <w14:ligatures w14:val="none"/>
        </w:rPr>
        <w:t>opex</w:t>
      </w:r>
      <w:proofErr w:type="spellEnd"/>
      <w:r w:rsidRPr="006647F9">
        <w:rPr>
          <w:rFonts w:ascii="Calibri" w:eastAsia="Calibri" w:hAnsi="Calibri" w:cs="Calibri"/>
          <w:bCs w:val="0"/>
          <w:kern w:val="0"/>
          <w:sz w:val="24"/>
          <w:szCs w:val="24"/>
          <w:lang w:val="el-GR"/>
          <w14:ligatures w14:val="none"/>
        </w:rPr>
        <w:t xml:space="preserve"> ίσο με 3,4€ και όχι </w:t>
      </w:r>
      <w:r w:rsidR="00D875DA">
        <w:rPr>
          <w:rFonts w:ascii="Calibri" w:eastAsia="Calibri" w:hAnsi="Calibri" w:cs="Calibri"/>
          <w:bCs w:val="0"/>
          <w:kern w:val="0"/>
          <w:sz w:val="24"/>
          <w:szCs w:val="24"/>
          <w:lang w:val="el-GR"/>
          <w14:ligatures w14:val="none"/>
        </w:rPr>
        <w:sym w:font="Wingdings" w:char="F022"/>
      </w:r>
      <w:r w:rsidR="00D875DA" w:rsidRPr="00D875DA">
        <w:rPr>
          <w:rFonts w:ascii="Calibri" w:eastAsia="Calibri" w:hAnsi="Calibri" w:cs="Calibri"/>
          <w:bCs w:val="0"/>
          <w:kern w:val="0"/>
          <w:sz w:val="24"/>
          <w:szCs w:val="24"/>
          <w:lang w:val="el-GR"/>
          <w14:ligatures w14:val="none"/>
        </w:rPr>
        <w:t xml:space="preserve"> </w:t>
      </w:r>
      <w:r w:rsidRPr="006647F9">
        <w:rPr>
          <w:rFonts w:ascii="Calibri" w:eastAsia="Calibri" w:hAnsi="Calibri" w:cs="Calibri"/>
          <w:bCs w:val="0"/>
          <w:kern w:val="0"/>
          <w:sz w:val="24"/>
          <w:szCs w:val="24"/>
          <w:lang w:val="el-GR"/>
          <w14:ligatures w14:val="none"/>
        </w:rPr>
        <w:t xml:space="preserve"> που είναι το </w:t>
      </w:r>
      <w:proofErr w:type="spellStart"/>
      <w:r w:rsidRPr="006647F9">
        <w:rPr>
          <w:rFonts w:ascii="Calibri" w:eastAsia="Calibri" w:hAnsi="Calibri" w:cs="Calibri"/>
          <w:bCs w:val="0"/>
          <w:kern w:val="0"/>
          <w:sz w:val="24"/>
          <w:szCs w:val="24"/>
          <w14:ligatures w14:val="none"/>
        </w:rPr>
        <w:t>opex</w:t>
      </w:r>
      <w:proofErr w:type="spellEnd"/>
      <w:r w:rsidRPr="006647F9">
        <w:rPr>
          <w:rFonts w:ascii="Calibri" w:eastAsia="Calibri" w:hAnsi="Calibri" w:cs="Calibri"/>
          <w:bCs w:val="0"/>
          <w:kern w:val="0"/>
          <w:sz w:val="24"/>
          <w:szCs w:val="24"/>
          <w:lang w:val="el-GR"/>
          <w14:ligatures w14:val="none"/>
        </w:rPr>
        <w:t xml:space="preserve"> στην περίπτωση της νέας ΚΥΑ (επισημαίνουμε ότι το </w:t>
      </w:r>
      <w:r w:rsidRPr="006647F9">
        <w:rPr>
          <w:rFonts w:ascii="Calibri" w:eastAsia="Calibri" w:hAnsi="Calibri" w:cs="Calibri"/>
          <w:bCs w:val="0"/>
          <w:kern w:val="0"/>
          <w:sz w:val="24"/>
          <w:szCs w:val="24"/>
          <w14:ligatures w14:val="none"/>
        </w:rPr>
        <w:t>smart</w:t>
      </w:r>
      <w:r w:rsidRPr="006647F9">
        <w:rPr>
          <w:rFonts w:ascii="Calibri" w:eastAsia="Calibri" w:hAnsi="Calibri" w:cs="Calibri"/>
          <w:bCs w:val="0"/>
          <w:kern w:val="0"/>
          <w:sz w:val="24"/>
          <w:szCs w:val="24"/>
          <w:lang w:val="el-GR"/>
          <w14:ligatures w14:val="none"/>
        </w:rPr>
        <w:t xml:space="preserve"> </w:t>
      </w:r>
      <w:proofErr w:type="spellStart"/>
      <w:r w:rsidRPr="006647F9">
        <w:rPr>
          <w:rFonts w:ascii="Calibri" w:eastAsia="Calibri" w:hAnsi="Calibri" w:cs="Calibri"/>
          <w:bCs w:val="0"/>
          <w:kern w:val="0"/>
          <w:sz w:val="24"/>
          <w:szCs w:val="24"/>
          <w14:ligatures w14:val="none"/>
        </w:rPr>
        <w:t>readinesss</w:t>
      </w:r>
      <w:proofErr w:type="spellEnd"/>
      <w:r w:rsidRPr="006647F9">
        <w:rPr>
          <w:rFonts w:ascii="Calibri" w:eastAsia="Calibri" w:hAnsi="Calibri" w:cs="Calibri"/>
          <w:bCs w:val="0"/>
          <w:kern w:val="0"/>
          <w:sz w:val="24"/>
          <w:szCs w:val="24"/>
          <w:lang w:val="el-GR"/>
          <w14:ligatures w14:val="none"/>
        </w:rPr>
        <w:t xml:space="preserve"> αφορά μόνο εγκαταστάσεις με την νέα ΚΥΑ – αντίστοιχα και στα νέα κτίρια με εγκατεστημένη </w:t>
      </w:r>
      <w:proofErr w:type="spellStart"/>
      <w:r w:rsidRPr="006647F9">
        <w:rPr>
          <w:rFonts w:ascii="Calibri" w:eastAsia="Calibri" w:hAnsi="Calibri" w:cs="Calibri"/>
          <w:bCs w:val="0"/>
          <w:kern w:val="0"/>
          <w:sz w:val="24"/>
          <w:szCs w:val="24"/>
          <w:lang w:val="el-GR"/>
          <w14:ligatures w14:val="none"/>
        </w:rPr>
        <w:t>ενδοκτιριακή</w:t>
      </w:r>
      <w:proofErr w:type="spellEnd"/>
      <w:r w:rsidRPr="006647F9">
        <w:rPr>
          <w:rFonts w:ascii="Calibri" w:eastAsia="Calibri" w:hAnsi="Calibri" w:cs="Calibri"/>
          <w:bCs w:val="0"/>
          <w:kern w:val="0"/>
          <w:sz w:val="24"/>
          <w:szCs w:val="24"/>
          <w:lang w:val="el-GR"/>
          <w14:ligatures w14:val="none"/>
        </w:rPr>
        <w:t xml:space="preserve"> υποδομή) </w:t>
      </w:r>
    </w:p>
    <w:p w14:paraId="1018443E" w14:textId="7EB27074" w:rsidR="007A7BC6" w:rsidRPr="006647F9" w:rsidRDefault="007A7BC6" w:rsidP="00034FBB">
      <w:pPr>
        <w:widowControl w:val="0"/>
        <w:numPr>
          <w:ilvl w:val="0"/>
          <w:numId w:val="3"/>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6647F9">
        <w:rPr>
          <w:rFonts w:ascii="Calibri" w:eastAsia="Calibri" w:hAnsi="Calibri" w:cs="Calibri"/>
          <w:bCs w:val="0"/>
          <w:kern w:val="0"/>
          <w:sz w:val="24"/>
          <w:szCs w:val="24"/>
          <w:lang w:val="el-GR"/>
          <w14:ligatures w14:val="none"/>
        </w:rPr>
        <w:t xml:space="preserve">δεν λαμβάνει υπόψη το επιπλέον </w:t>
      </w:r>
      <w:r w:rsidRPr="006647F9">
        <w:rPr>
          <w:rFonts w:ascii="Calibri" w:eastAsia="Calibri" w:hAnsi="Calibri" w:cs="Calibri"/>
          <w:bCs w:val="0"/>
          <w:kern w:val="0"/>
          <w:sz w:val="24"/>
          <w:szCs w:val="24"/>
          <w14:ligatures w14:val="none"/>
        </w:rPr>
        <w:t>capex</w:t>
      </w:r>
      <w:r w:rsidRPr="006647F9">
        <w:rPr>
          <w:rFonts w:ascii="Calibri" w:eastAsia="Calibri" w:hAnsi="Calibri" w:cs="Calibri"/>
          <w:bCs w:val="0"/>
          <w:kern w:val="0"/>
          <w:sz w:val="24"/>
          <w:szCs w:val="24"/>
          <w:lang w:val="el-GR"/>
          <w14:ligatures w14:val="none"/>
        </w:rPr>
        <w:t xml:space="preserve"> που επωμίζεται ο </w:t>
      </w:r>
      <w:proofErr w:type="spellStart"/>
      <w:r w:rsidRPr="006647F9">
        <w:rPr>
          <w:rFonts w:ascii="Calibri" w:eastAsia="Calibri" w:hAnsi="Calibri" w:cs="Calibri"/>
          <w:bCs w:val="0"/>
          <w:kern w:val="0"/>
          <w:sz w:val="24"/>
          <w:szCs w:val="24"/>
          <w:lang w:val="el-GR"/>
          <w14:ligatures w14:val="none"/>
        </w:rPr>
        <w:t>πάροχος</w:t>
      </w:r>
      <w:proofErr w:type="spellEnd"/>
      <w:r w:rsidRPr="006647F9">
        <w:rPr>
          <w:rFonts w:ascii="Calibri" w:eastAsia="Calibri" w:hAnsi="Calibri" w:cs="Calibri"/>
          <w:bCs w:val="0"/>
          <w:kern w:val="0"/>
          <w:sz w:val="24"/>
          <w:szCs w:val="24"/>
          <w:lang w:val="el-GR"/>
          <w14:ligatures w14:val="none"/>
        </w:rPr>
        <w:t xml:space="preserve"> στην περίπτωση του </w:t>
      </w:r>
      <w:r w:rsidRPr="006647F9">
        <w:rPr>
          <w:rFonts w:ascii="Calibri" w:eastAsia="Calibri" w:hAnsi="Calibri" w:cs="Calibri"/>
          <w:bCs w:val="0"/>
          <w:kern w:val="0"/>
          <w:sz w:val="24"/>
          <w:szCs w:val="24"/>
          <w14:ligatures w14:val="none"/>
        </w:rPr>
        <w:t>smart</w:t>
      </w:r>
      <w:r w:rsidRPr="006647F9">
        <w:rPr>
          <w:rFonts w:ascii="Calibri" w:eastAsia="Calibri" w:hAnsi="Calibri" w:cs="Calibri"/>
          <w:bCs w:val="0"/>
          <w:kern w:val="0"/>
          <w:sz w:val="24"/>
          <w:szCs w:val="24"/>
          <w:lang w:val="el-GR"/>
          <w14:ligatures w14:val="none"/>
        </w:rPr>
        <w:t xml:space="preserve"> </w:t>
      </w:r>
      <w:r w:rsidRPr="006647F9">
        <w:rPr>
          <w:rFonts w:ascii="Calibri" w:eastAsia="Calibri" w:hAnsi="Calibri" w:cs="Calibri"/>
          <w:bCs w:val="0"/>
          <w:kern w:val="0"/>
          <w:sz w:val="24"/>
          <w:szCs w:val="24"/>
          <w14:ligatures w14:val="none"/>
        </w:rPr>
        <w:t>readiness</w:t>
      </w:r>
      <w:r w:rsidRPr="006647F9">
        <w:rPr>
          <w:rFonts w:ascii="Calibri" w:eastAsia="Calibri" w:hAnsi="Calibri" w:cs="Calibri"/>
          <w:bCs w:val="0"/>
          <w:kern w:val="0"/>
          <w:sz w:val="24"/>
          <w:szCs w:val="24"/>
          <w:lang w:val="el-GR"/>
          <w14:ligatures w14:val="none"/>
        </w:rPr>
        <w:t xml:space="preserve"> που ανέρχεται σε </w:t>
      </w:r>
      <w:r w:rsidR="00D875DA">
        <w:rPr>
          <w:rFonts w:ascii="Calibri" w:eastAsia="Calibri" w:hAnsi="Calibri" w:cs="Calibri"/>
          <w:bCs w:val="0"/>
          <w:kern w:val="0"/>
          <w:sz w:val="24"/>
          <w:szCs w:val="24"/>
          <w:lang w:val="el-GR"/>
          <w14:ligatures w14:val="none"/>
        </w:rPr>
        <w:sym w:font="Wingdings" w:char="F022"/>
      </w:r>
      <w:r w:rsidRPr="006647F9">
        <w:rPr>
          <w:rFonts w:ascii="Calibri" w:eastAsia="Calibri" w:hAnsi="Calibri" w:cs="Calibri"/>
          <w:bCs w:val="0"/>
          <w:kern w:val="0"/>
          <w:sz w:val="24"/>
          <w:szCs w:val="24"/>
          <w:lang w:val="el-GR"/>
          <w14:ligatures w14:val="none"/>
        </w:rPr>
        <w:t>, που θα πρέπει να συμπεριληφθεί στους υπολογισμούς</w:t>
      </w:r>
    </w:p>
    <w:p w14:paraId="0DFEC915" w14:textId="77777777" w:rsidR="007A7BC6" w:rsidRPr="006647F9" w:rsidRDefault="007A7BC6" w:rsidP="00034FBB">
      <w:pPr>
        <w:widowControl w:val="0"/>
        <w:numPr>
          <w:ilvl w:val="0"/>
          <w:numId w:val="3"/>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δεν λαμβάνει υπόψη το αυξημένο κόστος </w:t>
      </w:r>
      <w:proofErr w:type="spellStart"/>
      <w:r w:rsidRPr="007A7BC6">
        <w:rPr>
          <w:rFonts w:ascii="Calibri" w:eastAsia="Calibri" w:hAnsi="Calibri" w:cs="Calibri"/>
          <w:bCs w:val="0"/>
          <w:kern w:val="0"/>
          <w:sz w:val="24"/>
          <w:szCs w:val="24"/>
          <w14:ligatures w14:val="none"/>
        </w:rPr>
        <w:t>fl</w:t>
      </w:r>
      <w:r w:rsidRPr="007A7BC6">
        <w:rPr>
          <w:rFonts w:ascii="Calibri" w:eastAsia="Calibri" w:hAnsi="Calibri" w:cs="Calibri"/>
          <w:bCs w:val="0"/>
          <w:kern w:val="0"/>
          <w:sz w:val="24"/>
          <w:szCs w:val="24"/>
          <w:lang w:val="el-GR"/>
          <w14:ligatures w14:val="none"/>
        </w:rPr>
        <w:t>οο</w:t>
      </w:r>
      <w:r w:rsidRPr="007A7BC6">
        <w:rPr>
          <w:rFonts w:ascii="Calibri" w:eastAsia="Calibri" w:hAnsi="Calibri" w:cs="Calibri"/>
          <w:bCs w:val="0"/>
          <w:kern w:val="0"/>
          <w:sz w:val="24"/>
          <w:szCs w:val="24"/>
          <w14:ligatures w14:val="none"/>
        </w:rPr>
        <w:t>rbox</w:t>
      </w:r>
      <w:proofErr w:type="spellEnd"/>
      <w:r w:rsidRPr="007A7BC6">
        <w:rPr>
          <w:rFonts w:ascii="Calibri" w:eastAsia="Calibri" w:hAnsi="Calibri" w:cs="Calibri"/>
          <w:bCs w:val="0"/>
          <w:kern w:val="0"/>
          <w:sz w:val="24"/>
          <w:szCs w:val="24"/>
          <w:lang w:val="el-GR"/>
          <w14:ligatures w14:val="none"/>
        </w:rPr>
        <w:t xml:space="preserve"> λόγω της νέας ΚΥΑ (</w:t>
      </w:r>
      <w:proofErr w:type="spellStart"/>
      <w:r w:rsidRPr="007A7BC6">
        <w:rPr>
          <w:rFonts w:ascii="Calibri" w:eastAsia="Calibri" w:hAnsi="Calibri" w:cs="Calibri"/>
          <w:bCs w:val="0"/>
          <w:kern w:val="0"/>
          <w:sz w:val="24"/>
          <w:szCs w:val="24"/>
          <w:lang w:val="el-GR"/>
          <w14:ligatures w14:val="none"/>
        </w:rPr>
        <w:t>βλ</w:t>
      </w:r>
      <w:proofErr w:type="spellEnd"/>
      <w:r w:rsidRPr="007A7BC6">
        <w:rPr>
          <w:rFonts w:ascii="Calibri" w:eastAsia="Calibri" w:hAnsi="Calibri" w:cs="Calibri"/>
          <w:bCs w:val="0"/>
          <w:kern w:val="0"/>
          <w:sz w:val="24"/>
          <w:szCs w:val="24"/>
          <w:lang w:val="el-GR"/>
          <w14:ligatures w14:val="none"/>
        </w:rPr>
        <w:t xml:space="preserve"> ανωτέρω)</w:t>
      </w:r>
    </w:p>
    <w:p w14:paraId="07979EFD" w14:textId="77777777" w:rsidR="006647F9" w:rsidRPr="007A7BC6" w:rsidRDefault="006647F9" w:rsidP="006647F9">
      <w:pPr>
        <w:widowControl w:val="0"/>
        <w:autoSpaceDE w:val="0"/>
        <w:autoSpaceDN w:val="0"/>
        <w:spacing w:after="240" w:line="360" w:lineRule="atLeast"/>
        <w:ind w:left="720" w:right="0"/>
        <w:contextualSpacing/>
        <w:jc w:val="both"/>
        <w:rPr>
          <w:rFonts w:ascii="Calibri" w:eastAsia="Calibri" w:hAnsi="Calibri" w:cs="Calibri"/>
          <w:bCs w:val="0"/>
          <w:kern w:val="0"/>
          <w:sz w:val="24"/>
          <w:szCs w:val="24"/>
          <w:lang w:val="el-GR"/>
          <w14:ligatures w14:val="none"/>
        </w:rPr>
      </w:pPr>
    </w:p>
    <w:p w14:paraId="0274D3D8"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Τέλος θα θέλαμε να επισημάνουμε ότι η ΕΕΤΤ τροποποίησε σε σχέση με το προηγούμενο μοντέλο τόσο τα έτη ζωής από 10 σε 15 έτη, όσο και το ποσοστό </w:t>
      </w:r>
      <w:r w:rsidRPr="007A7BC6">
        <w:rPr>
          <w:rFonts w:ascii="Calibri" w:eastAsia="Calibri" w:hAnsi="Calibri" w:cs="Calibri"/>
          <w:bCs w:val="0"/>
          <w:kern w:val="0"/>
          <w:sz w:val="24"/>
          <w:szCs w:val="24"/>
          <w14:ligatures w14:val="none"/>
        </w:rPr>
        <w:t>OPEX</w:t>
      </w:r>
      <w:r w:rsidRPr="007A7BC6">
        <w:rPr>
          <w:rFonts w:ascii="Calibri" w:eastAsia="Calibri" w:hAnsi="Calibri" w:cs="Calibri"/>
          <w:bCs w:val="0"/>
          <w:kern w:val="0"/>
          <w:sz w:val="24"/>
          <w:szCs w:val="24"/>
          <w:lang w:val="el-GR"/>
          <w14:ligatures w14:val="none"/>
        </w:rPr>
        <w:t xml:space="preserve"> επί του </w:t>
      </w:r>
      <w:r w:rsidRPr="007A7BC6">
        <w:rPr>
          <w:rFonts w:ascii="Calibri" w:eastAsia="Calibri" w:hAnsi="Calibri" w:cs="Calibri"/>
          <w:bCs w:val="0"/>
          <w:kern w:val="0"/>
          <w:sz w:val="24"/>
          <w:szCs w:val="24"/>
          <w14:ligatures w14:val="none"/>
        </w:rPr>
        <w:t>CAPEX</w:t>
      </w:r>
      <w:r w:rsidRPr="007A7BC6">
        <w:rPr>
          <w:rFonts w:ascii="Calibri" w:eastAsia="Calibri" w:hAnsi="Calibri" w:cs="Calibri"/>
          <w:bCs w:val="0"/>
          <w:kern w:val="0"/>
          <w:sz w:val="24"/>
          <w:szCs w:val="24"/>
          <w:lang w:val="el-GR"/>
          <w14:ligatures w14:val="none"/>
        </w:rPr>
        <w:t xml:space="preserve"> από 4% σε 2%. Η μείωση του ποσοστού είναι αποτέλεσμα του ότι η ΕΕΤΤ όρισε το </w:t>
      </w:r>
      <w:proofErr w:type="spellStart"/>
      <w:r w:rsidRPr="007A7BC6">
        <w:rPr>
          <w:rFonts w:ascii="Calibri" w:eastAsia="Calibri" w:hAnsi="Calibri" w:cs="Calibri"/>
          <w:bCs w:val="0"/>
          <w:kern w:val="0"/>
          <w:sz w:val="24"/>
          <w:szCs w:val="24"/>
          <w14:ligatures w14:val="none"/>
        </w:rPr>
        <w:t>floorbox</w:t>
      </w:r>
      <w:proofErr w:type="spellEnd"/>
      <w:r w:rsidRPr="007A7BC6">
        <w:rPr>
          <w:rFonts w:ascii="Calibri" w:eastAsia="Calibri" w:hAnsi="Calibri" w:cs="Calibri"/>
          <w:bCs w:val="0"/>
          <w:kern w:val="0"/>
          <w:sz w:val="24"/>
          <w:szCs w:val="24"/>
          <w:lang w:val="el-GR"/>
          <w14:ligatures w14:val="none"/>
        </w:rPr>
        <w:t xml:space="preserve"> ως παθητικό εξοπλισμό που έχει </w:t>
      </w:r>
      <w:r w:rsidRPr="007A7BC6">
        <w:rPr>
          <w:rFonts w:ascii="Calibri" w:eastAsia="Calibri" w:hAnsi="Calibri" w:cs="Calibri"/>
          <w:bCs w:val="0"/>
          <w:kern w:val="0"/>
          <w:sz w:val="24"/>
          <w:szCs w:val="24"/>
          <w14:ligatures w14:val="none"/>
        </w:rPr>
        <w:t>OPEX</w:t>
      </w:r>
      <w:r w:rsidRPr="007A7BC6">
        <w:rPr>
          <w:rFonts w:ascii="Calibri" w:eastAsia="Calibri" w:hAnsi="Calibri" w:cs="Calibri"/>
          <w:bCs w:val="0"/>
          <w:kern w:val="0"/>
          <w:sz w:val="24"/>
          <w:szCs w:val="24"/>
          <w:lang w:val="el-GR"/>
          <w14:ligatures w14:val="none"/>
        </w:rPr>
        <w:t xml:space="preserve"> 2%. Όμως τα </w:t>
      </w:r>
      <w:proofErr w:type="spellStart"/>
      <w:r w:rsidRPr="007A7BC6">
        <w:rPr>
          <w:rFonts w:ascii="Calibri" w:eastAsia="Calibri" w:hAnsi="Calibri" w:cs="Calibri"/>
          <w:bCs w:val="0"/>
          <w:kern w:val="0"/>
          <w:sz w:val="24"/>
          <w:szCs w:val="24"/>
          <w14:ligatures w14:val="none"/>
        </w:rPr>
        <w:t>floorbox</w:t>
      </w:r>
      <w:proofErr w:type="spellEnd"/>
      <w:r w:rsidRPr="007A7BC6">
        <w:rPr>
          <w:rFonts w:ascii="Calibri" w:eastAsia="Calibri" w:hAnsi="Calibri" w:cs="Calibri"/>
          <w:bCs w:val="0"/>
          <w:kern w:val="0"/>
          <w:sz w:val="24"/>
          <w:szCs w:val="24"/>
          <w:lang w:val="el-GR"/>
          <w14:ligatures w14:val="none"/>
        </w:rPr>
        <w:t xml:space="preserve"> διαφέρουν σημαντικά από τις υπηρεσίες </w:t>
      </w:r>
      <w:r w:rsidRPr="007A7BC6">
        <w:rPr>
          <w:rFonts w:ascii="Calibri" w:eastAsia="Calibri" w:hAnsi="Calibri" w:cs="Calibri"/>
          <w:bCs w:val="0"/>
          <w:kern w:val="0"/>
          <w:sz w:val="24"/>
          <w:szCs w:val="24"/>
          <w14:ligatures w14:val="none"/>
        </w:rPr>
        <w:t>dark</w:t>
      </w:r>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14:ligatures w14:val="none"/>
        </w:rPr>
        <w:t>fibre</w:t>
      </w:r>
      <w:proofErr w:type="spellEnd"/>
      <w:r w:rsidRPr="007A7BC6">
        <w:rPr>
          <w:rFonts w:ascii="Calibri" w:eastAsia="Calibri" w:hAnsi="Calibri" w:cs="Calibri"/>
          <w:bCs w:val="0"/>
          <w:kern w:val="0"/>
          <w:sz w:val="24"/>
          <w:szCs w:val="24"/>
          <w:lang w:val="el-GR"/>
          <w14:ligatures w14:val="none"/>
        </w:rPr>
        <w:t xml:space="preserve"> &amp; </w:t>
      </w:r>
      <w:r w:rsidRPr="007A7BC6">
        <w:rPr>
          <w:rFonts w:ascii="Calibri" w:eastAsia="Calibri" w:hAnsi="Calibri" w:cs="Calibri"/>
          <w:bCs w:val="0"/>
          <w:kern w:val="0"/>
          <w:sz w:val="24"/>
          <w:szCs w:val="24"/>
          <w14:ligatures w14:val="none"/>
        </w:rPr>
        <w:t>duct</w:t>
      </w:r>
      <w:r w:rsidRPr="007A7BC6">
        <w:rPr>
          <w:rFonts w:ascii="Calibri" w:eastAsia="Calibri" w:hAnsi="Calibri" w:cs="Calibri"/>
          <w:bCs w:val="0"/>
          <w:kern w:val="0"/>
          <w:sz w:val="24"/>
          <w:szCs w:val="24"/>
          <w:lang w:val="el-GR"/>
          <w14:ligatures w14:val="none"/>
        </w:rPr>
        <w:t xml:space="preserve"> καθώς βρίσκονται εκτεθειμένα και </w:t>
      </w:r>
      <w:proofErr w:type="spellStart"/>
      <w:r w:rsidRPr="007A7BC6">
        <w:rPr>
          <w:rFonts w:ascii="Calibri" w:eastAsia="Calibri" w:hAnsi="Calibri" w:cs="Calibri"/>
          <w:bCs w:val="0"/>
          <w:kern w:val="0"/>
          <w:sz w:val="24"/>
          <w:szCs w:val="24"/>
          <w:lang w:val="el-GR"/>
          <w14:ligatures w14:val="none"/>
        </w:rPr>
        <w:t>προσβάσιμα</w:t>
      </w:r>
      <w:proofErr w:type="spellEnd"/>
      <w:r w:rsidRPr="007A7BC6">
        <w:rPr>
          <w:rFonts w:ascii="Calibri" w:eastAsia="Calibri" w:hAnsi="Calibri" w:cs="Calibri"/>
          <w:bCs w:val="0"/>
          <w:kern w:val="0"/>
          <w:sz w:val="24"/>
          <w:szCs w:val="24"/>
          <w:lang w:val="el-GR"/>
          <w14:ligatures w14:val="none"/>
        </w:rPr>
        <w:t xml:space="preserve"> και συνεπώς απαιτούν αυξημένες ανάγκες επιτήρησης, τακτικού ελέγχου και συντήρησης, προκειμένου για την εύρυθμη και ασφαλή λειτουργία τους. Οι ιδιαιτερότητες αυτές συνεπάγονται υψηλότερο λειτουργικό κόστος σε σχέση με τις υπηρεσίες </w:t>
      </w:r>
      <w:proofErr w:type="spellStart"/>
      <w:r w:rsidRPr="007A7BC6">
        <w:rPr>
          <w:rFonts w:ascii="Calibri" w:eastAsia="Calibri" w:hAnsi="Calibri" w:cs="Calibri"/>
          <w:bCs w:val="0"/>
          <w:kern w:val="0"/>
          <w:sz w:val="24"/>
          <w:szCs w:val="24"/>
          <w:lang w:val="el-GR"/>
          <w14:ligatures w14:val="none"/>
        </w:rPr>
        <w:t>dark</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fibre</w:t>
      </w:r>
      <w:proofErr w:type="spellEnd"/>
      <w:r w:rsidRPr="007A7BC6">
        <w:rPr>
          <w:rFonts w:ascii="Calibri" w:eastAsia="Calibri" w:hAnsi="Calibri" w:cs="Calibri"/>
          <w:bCs w:val="0"/>
          <w:kern w:val="0"/>
          <w:sz w:val="24"/>
          <w:szCs w:val="24"/>
          <w:lang w:val="el-GR"/>
          <w14:ligatures w14:val="none"/>
        </w:rPr>
        <w:t xml:space="preserve"> και </w:t>
      </w:r>
      <w:proofErr w:type="spellStart"/>
      <w:r w:rsidRPr="007A7BC6">
        <w:rPr>
          <w:rFonts w:ascii="Calibri" w:eastAsia="Calibri" w:hAnsi="Calibri" w:cs="Calibri"/>
          <w:bCs w:val="0"/>
          <w:kern w:val="0"/>
          <w:sz w:val="24"/>
          <w:szCs w:val="24"/>
          <w:lang w:val="el-GR"/>
          <w14:ligatures w14:val="none"/>
        </w:rPr>
        <w:t>duct</w:t>
      </w:r>
      <w:proofErr w:type="spellEnd"/>
      <w:r w:rsidRPr="007A7BC6">
        <w:rPr>
          <w:rFonts w:ascii="Calibri" w:eastAsia="Calibri" w:hAnsi="Calibri" w:cs="Calibri"/>
          <w:bCs w:val="0"/>
          <w:kern w:val="0"/>
          <w:sz w:val="24"/>
          <w:szCs w:val="24"/>
          <w:lang w:val="el-GR"/>
          <w14:ligatures w14:val="none"/>
        </w:rPr>
        <w:t xml:space="preserve">, γεγονός που καθιστά το ποσοστό OPEX 2% μη ρεαλιστικό και μη αντιπροσωπευτικό των πραγματικών δαπανών. Να σημειώσουμε ότι στην εγκατεστημένη βάση </w:t>
      </w:r>
      <w:proofErr w:type="spellStart"/>
      <w:r w:rsidRPr="007A7BC6">
        <w:rPr>
          <w:rFonts w:ascii="Calibri" w:eastAsia="Calibri" w:hAnsi="Calibri" w:cs="Calibri"/>
          <w:bCs w:val="0"/>
          <w:kern w:val="0"/>
          <w:sz w:val="24"/>
          <w:szCs w:val="24"/>
          <w14:ligatures w14:val="none"/>
        </w:rPr>
        <w:lastRenderedPageBreak/>
        <w:t>floorbox</w:t>
      </w:r>
      <w:proofErr w:type="spellEnd"/>
      <w:r w:rsidRPr="007A7BC6">
        <w:rPr>
          <w:rFonts w:ascii="Calibri" w:eastAsia="Calibri" w:hAnsi="Calibri" w:cs="Calibri"/>
          <w:bCs w:val="0"/>
          <w:kern w:val="0"/>
          <w:sz w:val="24"/>
          <w:szCs w:val="24"/>
          <w:lang w:val="el-GR"/>
          <w14:ligatures w14:val="none"/>
        </w:rPr>
        <w:t xml:space="preserve"> της εταιρείας μας παρατηρείται σημαντικός αριθμός βλαβών, με την πλειοψηφία αυτών να οφείλεται σε εργασίες συντήρησης και αναβάθμισης των κτιρίων, γεγονός το οποίο υποστηρίζει και τη θέση μας για αυξημένο ποσοστό λειτουργικού κόστους.</w:t>
      </w:r>
    </w:p>
    <w:p w14:paraId="56EFB532" w14:textId="403157DB"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Η προτεινόμενη αλλαγή του χρόνου αποσβέσεων για τα </w:t>
      </w:r>
      <w:proofErr w:type="spellStart"/>
      <w:r w:rsidRPr="007A7BC6">
        <w:rPr>
          <w:rFonts w:ascii="Calibri" w:eastAsia="Calibri" w:hAnsi="Calibri" w:cs="Calibri"/>
          <w:bCs w:val="0"/>
          <w:kern w:val="0"/>
          <w:sz w:val="24"/>
          <w:szCs w:val="24"/>
          <w:lang w:val="en-AU"/>
          <w14:ligatures w14:val="none"/>
        </w:rPr>
        <w:t>floorbox</w:t>
      </w:r>
      <w:proofErr w:type="spellEnd"/>
      <w:r w:rsidRPr="007A7BC6">
        <w:rPr>
          <w:rFonts w:ascii="Calibri" w:eastAsia="Calibri" w:hAnsi="Calibri" w:cs="Calibri"/>
          <w:bCs w:val="0"/>
          <w:kern w:val="0"/>
          <w:sz w:val="24"/>
          <w:szCs w:val="24"/>
          <w:lang w:val="el-GR"/>
          <w14:ligatures w14:val="none"/>
        </w:rPr>
        <w:t xml:space="preserve"> από 10 σε 15 έτη, αλλαγή που δεν επεξηγείται, δημιουργεί ασυνέχεια στον τρόπο χειρισμού των αποσβέσεων καθώς ο εξοπλισμός αυτός έχει ήδη εγκατασταθεί στο πεδίο τα τελευταία πέντε έτη σταδιακά. </w:t>
      </w:r>
      <w:r w:rsidR="0049204B">
        <w:rPr>
          <w:rFonts w:ascii="Calibri" w:eastAsia="Calibri" w:hAnsi="Calibri" w:cs="Calibri"/>
          <w:bCs w:val="0"/>
          <w:kern w:val="0"/>
          <w:sz w:val="24"/>
          <w:szCs w:val="24"/>
          <w:lang w:val="el-GR"/>
          <w14:ligatures w14:val="none"/>
        </w:rPr>
        <w:sym w:font="Wingdings" w:char="F022"/>
      </w:r>
      <w:r w:rsidR="0049204B" w:rsidRPr="00073E36">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lang w:val="el-GR"/>
          <w14:ligatures w14:val="none"/>
        </w:rPr>
        <w:t>Επιπλέον δεδομένου ότι το 2024 είχαν εγκατασταθεί από πλευράς ΟΤΕ περισσότερα από</w:t>
      </w:r>
      <w:r w:rsidR="00D875DA" w:rsidRPr="00D875DA">
        <w:rPr>
          <w:rFonts w:ascii="Calibri" w:eastAsia="Calibri" w:hAnsi="Calibri" w:cs="Calibri"/>
          <w:bCs w:val="0"/>
          <w:kern w:val="0"/>
          <w:sz w:val="24"/>
          <w:szCs w:val="24"/>
          <w:lang w:val="el-GR"/>
          <w14:ligatures w14:val="none"/>
        </w:rPr>
        <w:t xml:space="preserve"> </w:t>
      </w:r>
      <w:r w:rsidR="00D875DA">
        <w:rPr>
          <w:rFonts w:ascii="Calibri" w:eastAsia="Calibri" w:hAnsi="Calibri" w:cs="Calibri"/>
          <w:bCs w:val="0"/>
          <w:kern w:val="0"/>
          <w:sz w:val="24"/>
          <w:szCs w:val="24"/>
          <w:lang w:val="el-GR"/>
          <w14:ligatures w14:val="none"/>
        </w:rPr>
        <w:sym w:font="Wingdings" w:char="F022"/>
      </w:r>
      <w:r w:rsidR="00CC4FBC" w:rsidRPr="00CC4FBC">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14:ligatures w14:val="none"/>
        </w:rPr>
        <w:t>f</w:t>
      </w:r>
      <w:proofErr w:type="spellStart"/>
      <w:r w:rsidRPr="007A7BC6">
        <w:rPr>
          <w:rFonts w:ascii="Calibri" w:eastAsia="Calibri" w:hAnsi="Calibri" w:cs="Calibri"/>
          <w:bCs w:val="0"/>
          <w:kern w:val="0"/>
          <w:sz w:val="24"/>
          <w:szCs w:val="24"/>
          <w:lang w:val="el-GR"/>
          <w14:ligatures w14:val="none"/>
        </w:rPr>
        <w:t>loorbox</w:t>
      </w:r>
      <w:proofErr w:type="spellEnd"/>
      <w:r w:rsidRPr="007A7BC6">
        <w:rPr>
          <w:rFonts w:ascii="Calibri" w:eastAsia="Calibri" w:hAnsi="Calibri" w:cs="Calibri"/>
          <w:bCs w:val="0"/>
          <w:kern w:val="0"/>
          <w:sz w:val="24"/>
          <w:szCs w:val="24"/>
          <w:lang w:val="el-GR"/>
          <w14:ligatures w14:val="none"/>
        </w:rPr>
        <w:t xml:space="preserve">, τα οποία κάλυπταν περίπου </w:t>
      </w:r>
      <w:r w:rsidR="00D875DA">
        <w:rPr>
          <w:rFonts w:ascii="Calibri" w:eastAsia="Calibri" w:hAnsi="Calibri" w:cs="Calibri"/>
          <w:bCs w:val="0"/>
          <w:kern w:val="0"/>
          <w:sz w:val="24"/>
          <w:szCs w:val="24"/>
          <w:lang w:val="el-GR"/>
          <w14:ligatures w14:val="none"/>
        </w:rPr>
        <w:sym w:font="Wingdings" w:char="F022"/>
      </w:r>
      <w:r w:rsidR="004D4CF4">
        <w:rPr>
          <w:rFonts w:ascii="Calibri" w:eastAsia="Calibri" w:hAnsi="Calibri" w:cs="Calibri"/>
          <w:bCs w:val="0"/>
          <w:kern w:val="0"/>
          <w:sz w:val="24"/>
          <w:szCs w:val="24"/>
          <w:lang w:val="el-GR"/>
          <w14:ligatures w14:val="none"/>
        </w:rPr>
        <w:t xml:space="preserve"> </w:t>
      </w:r>
      <w:r w:rsidRPr="007A7BC6">
        <w:rPr>
          <w:rFonts w:ascii="Calibri" w:eastAsia="Calibri" w:hAnsi="Calibri" w:cs="Calibri"/>
          <w:bCs w:val="0"/>
          <w:kern w:val="0"/>
          <w:sz w:val="24"/>
          <w:szCs w:val="24"/>
          <w:lang w:val="el-GR"/>
          <w14:ligatures w14:val="none"/>
        </w:rPr>
        <w:t xml:space="preserve">δυνητικούς συνδρομητές, ενώ οι πραγματικοί συνδρομητές ήταν περίπου </w:t>
      </w:r>
      <w:r w:rsidR="00D875DA">
        <w:rPr>
          <w:rFonts w:ascii="Calibri" w:eastAsia="Calibri" w:hAnsi="Calibri" w:cs="Calibri"/>
          <w:bCs w:val="0"/>
          <w:kern w:val="0"/>
          <w:sz w:val="24"/>
          <w:szCs w:val="24"/>
          <w:lang w:val="el-GR"/>
          <w14:ligatures w14:val="none"/>
        </w:rPr>
        <w:sym w:font="Wingdings" w:char="F022"/>
      </w:r>
      <w:r w:rsidRPr="007A7BC6">
        <w:rPr>
          <w:rFonts w:ascii="Calibri" w:eastAsia="Calibri" w:hAnsi="Calibri" w:cs="Calibri"/>
          <w:bCs w:val="0"/>
          <w:kern w:val="0"/>
          <w:sz w:val="24"/>
          <w:szCs w:val="24"/>
          <w:lang w:val="el-GR"/>
          <w14:ligatures w14:val="none"/>
        </w:rPr>
        <w:t xml:space="preserve">, το μοντέλο υποεκτιμά την ετήσια αξία </w:t>
      </w:r>
      <w:r w:rsidRPr="007A7BC6">
        <w:rPr>
          <w:rFonts w:ascii="Calibri" w:eastAsia="Calibri" w:hAnsi="Calibri" w:cs="Calibri"/>
          <w:bCs w:val="0"/>
          <w:kern w:val="0"/>
          <w:sz w:val="24"/>
          <w:szCs w:val="24"/>
          <w14:ligatures w14:val="none"/>
        </w:rPr>
        <w:t>depreciation</w:t>
      </w:r>
      <w:r w:rsidRPr="007A7BC6">
        <w:rPr>
          <w:rFonts w:ascii="Calibri" w:eastAsia="Calibri" w:hAnsi="Calibri" w:cs="Calibri"/>
          <w:bCs w:val="0"/>
          <w:kern w:val="0"/>
          <w:sz w:val="24"/>
          <w:szCs w:val="24"/>
          <w:lang w:val="el-GR"/>
          <w14:ligatures w14:val="none"/>
        </w:rPr>
        <w:t xml:space="preserve"> και η εταιρεία μας δεν ανακτά αυτό το κόστος. </w:t>
      </w:r>
    </w:p>
    <w:p w14:paraId="4507340E"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Ο ΟΤΕ προτείνει η ΕΕΤΤ να διατηρήσει το ποσοστό </w:t>
      </w:r>
      <w:r w:rsidRPr="007A7BC6">
        <w:rPr>
          <w:rFonts w:ascii="Calibri" w:eastAsia="Calibri" w:hAnsi="Calibri" w:cs="Calibri"/>
          <w:bCs w:val="0"/>
          <w:kern w:val="0"/>
          <w:sz w:val="24"/>
          <w:szCs w:val="24"/>
          <w14:ligatures w14:val="none"/>
        </w:rPr>
        <w:t>OPEX</w:t>
      </w:r>
      <w:r w:rsidRPr="007A7BC6">
        <w:rPr>
          <w:rFonts w:ascii="Calibri" w:eastAsia="Calibri" w:hAnsi="Calibri" w:cs="Calibri"/>
          <w:bCs w:val="0"/>
          <w:kern w:val="0"/>
          <w:sz w:val="24"/>
          <w:szCs w:val="24"/>
          <w:lang w:val="el-GR"/>
          <w14:ligatures w14:val="none"/>
        </w:rPr>
        <w:t xml:space="preserve"> επί του </w:t>
      </w:r>
      <w:r w:rsidRPr="007A7BC6">
        <w:rPr>
          <w:rFonts w:ascii="Calibri" w:eastAsia="Calibri" w:hAnsi="Calibri" w:cs="Calibri"/>
          <w:bCs w:val="0"/>
          <w:kern w:val="0"/>
          <w:sz w:val="24"/>
          <w:szCs w:val="24"/>
          <w14:ligatures w14:val="none"/>
        </w:rPr>
        <w:t>CAPEX</w:t>
      </w:r>
      <w:r w:rsidRPr="007A7BC6">
        <w:rPr>
          <w:rFonts w:ascii="Calibri" w:eastAsia="Calibri" w:hAnsi="Calibri" w:cs="Calibri"/>
          <w:bCs w:val="0"/>
          <w:kern w:val="0"/>
          <w:sz w:val="24"/>
          <w:szCs w:val="24"/>
          <w:lang w:val="el-GR"/>
          <w14:ligatures w14:val="none"/>
        </w:rPr>
        <w:t xml:space="preserve"> στο 4% και τα έτη ζωής ίσα με τα 10 έτη.</w:t>
      </w:r>
    </w:p>
    <w:p w14:paraId="4064D55A" w14:textId="77777777" w:rsidR="007A7BC6" w:rsidRPr="007A7BC6" w:rsidRDefault="007A7BC6" w:rsidP="007A7BC6">
      <w:pPr>
        <w:keepNext/>
        <w:keepLines/>
        <w:widowControl w:val="0"/>
        <w:autoSpaceDE w:val="0"/>
        <w:autoSpaceDN w:val="0"/>
        <w:spacing w:before="160" w:after="80" w:line="360" w:lineRule="atLeast"/>
        <w:ind w:left="360" w:right="0" w:hanging="360"/>
        <w:outlineLvl w:val="1"/>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Theme="majorHAnsi" w:eastAsiaTheme="majorEastAsia" w:hAnsiTheme="majorHAnsi" w:cstheme="majorBidi"/>
          <w:bCs w:val="0"/>
          <w:color w:val="0F4761" w:themeColor="accent1" w:themeShade="BF"/>
          <w:kern w:val="0"/>
          <w:sz w:val="28"/>
          <w:szCs w:val="28"/>
          <w:lang w:val="el-GR"/>
          <w14:ligatures w14:val="none"/>
        </w:rPr>
        <w:t>Κοστολόγηση εφάπαξ τελών υπηρεσιών - Εκπτώσεις όγκου εφάπαξ τελών υπηρεσιών: πολλαπλών &amp; μαζικών – (</w:t>
      </w:r>
      <w:proofErr w:type="spellStart"/>
      <w:r w:rsidRPr="007A7BC6">
        <w:rPr>
          <w:rFonts w:asciiTheme="majorHAnsi" w:eastAsiaTheme="majorEastAsia" w:hAnsiTheme="majorHAnsi" w:cstheme="majorBidi"/>
          <w:bCs w:val="0"/>
          <w:color w:val="0F4761" w:themeColor="accent1" w:themeShade="BF"/>
          <w:kern w:val="0"/>
          <w:sz w:val="28"/>
          <w:szCs w:val="28"/>
          <w:lang w:val="el-GR"/>
          <w14:ligatures w14:val="none"/>
        </w:rPr>
        <w:t>Learning</w:t>
      </w:r>
      <w:proofErr w:type="spellEnd"/>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 </w:t>
      </w:r>
      <w:proofErr w:type="spellStart"/>
      <w:r w:rsidRPr="007A7BC6">
        <w:rPr>
          <w:rFonts w:asciiTheme="majorHAnsi" w:eastAsiaTheme="majorEastAsia" w:hAnsiTheme="majorHAnsi" w:cstheme="majorBidi"/>
          <w:bCs w:val="0"/>
          <w:color w:val="0F4761" w:themeColor="accent1" w:themeShade="BF"/>
          <w:kern w:val="0"/>
          <w:sz w:val="28"/>
          <w:szCs w:val="28"/>
          <w:lang w:val="el-GR"/>
          <w14:ligatures w14:val="none"/>
        </w:rPr>
        <w:t>Curve</w:t>
      </w:r>
      <w:proofErr w:type="spellEnd"/>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 </w:t>
      </w:r>
      <w:proofErr w:type="spellStart"/>
      <w:r w:rsidRPr="007A7BC6">
        <w:rPr>
          <w:rFonts w:asciiTheme="majorHAnsi" w:eastAsiaTheme="majorEastAsia" w:hAnsiTheme="majorHAnsi" w:cstheme="majorBidi"/>
          <w:bCs w:val="0"/>
          <w:color w:val="0F4761" w:themeColor="accent1" w:themeShade="BF"/>
          <w:kern w:val="0"/>
          <w:sz w:val="28"/>
          <w:szCs w:val="28"/>
          <w:lang w:val="el-GR"/>
          <w14:ligatures w14:val="none"/>
        </w:rPr>
        <w:t>Theory</w:t>
      </w:r>
      <w:proofErr w:type="spellEnd"/>
      <w:r w:rsidRPr="007A7BC6">
        <w:rPr>
          <w:rFonts w:asciiTheme="majorHAnsi" w:eastAsiaTheme="majorEastAsia" w:hAnsiTheme="majorHAnsi" w:cstheme="majorBidi"/>
          <w:bCs w:val="0"/>
          <w:color w:val="0F4761" w:themeColor="accent1" w:themeShade="BF"/>
          <w:kern w:val="0"/>
          <w:sz w:val="28"/>
          <w:szCs w:val="28"/>
          <w:lang w:val="el-GR"/>
          <w14:ligatures w14:val="none"/>
        </w:rPr>
        <w:t>) – τέλη</w:t>
      </w:r>
    </w:p>
    <w:p w14:paraId="7759B67B" w14:textId="77777777" w:rsidR="007A7BC6" w:rsidRPr="007A7BC6" w:rsidRDefault="007A7BC6" w:rsidP="007A7BC6">
      <w:pPr>
        <w:widowControl w:val="0"/>
        <w:autoSpaceDE w:val="0"/>
        <w:autoSpaceDN w:val="0"/>
        <w:spacing w:after="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Η ΕΕΤΤ εισάγει για πρώτη φορά στο υπολογισμό ορισμένων εκ των εφάπαξ τελών τέλη μαζικών &amp; πολλαπλών μεταβάσεων/ενεργοποιήσεων που αφορούν:</w:t>
      </w:r>
    </w:p>
    <w:p w14:paraId="47BA9640" w14:textId="77777777" w:rsidR="007A7BC6" w:rsidRPr="007A7BC6" w:rsidRDefault="007A7BC6" w:rsidP="00034FBB">
      <w:pPr>
        <w:widowControl w:val="0"/>
        <w:numPr>
          <w:ilvl w:val="0"/>
          <w:numId w:val="3"/>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εφάπαξ τέλη μαζικών αιτημάτων για υπηρεσίες κατά τη διάρκεια της διαδικασίας παρόπλισης του δικτύου χαλκού (</w:t>
      </w:r>
      <w:proofErr w:type="spellStart"/>
      <w:r w:rsidRPr="007A7BC6">
        <w:rPr>
          <w:rFonts w:ascii="Calibri" w:eastAsia="Calibri" w:hAnsi="Calibri" w:cs="Calibri"/>
          <w:bCs w:val="0"/>
          <w:kern w:val="0"/>
          <w:sz w:val="24"/>
          <w:szCs w:val="24"/>
          <w:lang w:val="el-GR"/>
          <w14:ligatures w14:val="none"/>
        </w:rPr>
        <w:t>copper</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switch-off</w:t>
      </w:r>
      <w:proofErr w:type="spellEnd"/>
      <w:r w:rsidRPr="007A7BC6">
        <w:rPr>
          <w:rFonts w:ascii="Calibri" w:eastAsia="Calibri" w:hAnsi="Calibri" w:cs="Calibri"/>
          <w:bCs w:val="0"/>
          <w:kern w:val="0"/>
          <w:sz w:val="24"/>
          <w:szCs w:val="24"/>
          <w:lang w:val="el-GR"/>
          <w14:ligatures w14:val="none"/>
        </w:rPr>
        <w:t xml:space="preserve">). </w:t>
      </w:r>
    </w:p>
    <w:p w14:paraId="5C2301F8" w14:textId="77777777" w:rsidR="007A7BC6" w:rsidRPr="007A7BC6" w:rsidRDefault="007A7BC6" w:rsidP="00034FBB">
      <w:pPr>
        <w:widowControl w:val="0"/>
        <w:numPr>
          <w:ilvl w:val="0"/>
          <w:numId w:val="3"/>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εφάπαξ τέλη πολλαπλών αιτημάτων για τα οποία υπάρχει από κοινού προγραμματισμός και ρυθμός των αιτημάτων</w:t>
      </w:r>
    </w:p>
    <w:p w14:paraId="460F7670"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εντός της περιοχής ενός Αστικού Κέντρου. </w:t>
      </w:r>
    </w:p>
    <w:p w14:paraId="5A3F7D61" w14:textId="77777777" w:rsidR="007A7BC6" w:rsidRPr="007A7BC6" w:rsidRDefault="007A7BC6" w:rsidP="007A7BC6">
      <w:pPr>
        <w:widowControl w:val="0"/>
        <w:autoSpaceDE w:val="0"/>
        <w:autoSpaceDN w:val="0"/>
        <w:spacing w:after="240" w:line="360" w:lineRule="atLeast"/>
        <w:ind w:left="0" w:right="0"/>
        <w:jc w:val="both"/>
        <w:rPr>
          <w:rFonts w:ascii="Cambria Math" w:eastAsia="Calibri" w:hAnsi="Cambria Math" w:cs="Cambria Math"/>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Για τον υπολογισμό των εκπτώσεων στα ανωτέρω τέλη βασίζεται στη θεωρία της καμπύλης εκμάθησης (</w:t>
      </w:r>
      <w:proofErr w:type="spellStart"/>
      <w:r w:rsidRPr="007A7BC6">
        <w:rPr>
          <w:rFonts w:ascii="Calibri" w:eastAsia="Calibri" w:hAnsi="Calibri" w:cs="Calibri"/>
          <w:bCs w:val="0"/>
          <w:kern w:val="0"/>
          <w:sz w:val="24"/>
          <w:szCs w:val="24"/>
          <w:lang w:val="el-GR"/>
          <w14:ligatures w14:val="none"/>
        </w:rPr>
        <w:t>Learning</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Curve</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Theory</w:t>
      </w:r>
      <w:proofErr w:type="spellEnd"/>
      <w:r w:rsidRPr="007A7BC6">
        <w:rPr>
          <w:rFonts w:ascii="Calibri" w:eastAsia="Calibri" w:hAnsi="Calibri" w:cs="Calibri"/>
          <w:bCs w:val="0"/>
          <w:kern w:val="0"/>
          <w:sz w:val="24"/>
          <w:szCs w:val="24"/>
          <w:lang w:val="el-GR"/>
          <w14:ligatures w14:val="none"/>
        </w:rPr>
        <w:t xml:space="preserve">), η οποία προβλέπει ότι η επαναλαμβανόμενη εκτέλεση παρόμοιων εργασιών οδηγεί σε σημαντική βελτίωση της παραγωγικότητας, με μαθηματική διατύπωση της θεωρίας: </w:t>
      </w:r>
      <w:r w:rsidRPr="007A7BC6">
        <w:rPr>
          <w:rFonts w:ascii="Cambria Math" w:eastAsia="Calibri" w:hAnsi="Cambria Math" w:cs="Cambria Math"/>
          <w:bCs w:val="0"/>
          <w:kern w:val="0"/>
          <w:sz w:val="24"/>
          <w:szCs w:val="24"/>
          <w:lang w:val="el-GR"/>
          <w14:ligatures w14:val="none"/>
        </w:rPr>
        <w:t>𝑇𝑛</w:t>
      </w:r>
      <w:r w:rsidRPr="007A7BC6">
        <w:rPr>
          <w:rFonts w:ascii="Calibri" w:eastAsia="Calibri" w:hAnsi="Calibri" w:cs="Calibri"/>
          <w:bCs w:val="0"/>
          <w:kern w:val="0"/>
          <w:sz w:val="24"/>
          <w:szCs w:val="24"/>
          <w:lang w:val="el-GR"/>
          <w14:ligatures w14:val="none"/>
        </w:rPr>
        <w:t>=</w:t>
      </w:r>
      <w:r w:rsidRPr="007A7BC6">
        <w:rPr>
          <w:rFonts w:ascii="Cambria Math" w:eastAsia="Calibri" w:hAnsi="Cambria Math" w:cs="Cambria Math"/>
          <w:bCs w:val="0"/>
          <w:kern w:val="0"/>
          <w:sz w:val="24"/>
          <w:szCs w:val="24"/>
          <w:lang w:val="el-GR"/>
          <w14:ligatures w14:val="none"/>
        </w:rPr>
        <w:t>𝑇</w:t>
      </w:r>
      <w:r w:rsidRPr="007A7BC6">
        <w:rPr>
          <w:rFonts w:ascii="Calibri" w:eastAsia="Calibri" w:hAnsi="Calibri" w:cs="Calibri"/>
          <w:bCs w:val="0"/>
          <w:kern w:val="0"/>
          <w:sz w:val="24"/>
          <w:szCs w:val="24"/>
          <w:lang w:val="el-GR"/>
          <w14:ligatures w14:val="none"/>
        </w:rPr>
        <w:t>1</w:t>
      </w:r>
      <w:r w:rsidRPr="007A7BC6">
        <w:rPr>
          <w:rFonts w:ascii="Cambria Math" w:eastAsia="Calibri" w:hAnsi="Cambria Math" w:cs="Cambria Math"/>
          <w:bCs w:val="0"/>
          <w:kern w:val="0"/>
          <w:sz w:val="24"/>
          <w:szCs w:val="24"/>
          <w:lang w:val="el-GR"/>
          <w14:ligatures w14:val="none"/>
        </w:rPr>
        <w:t xml:space="preserve">∗𝑛𝑏. </w:t>
      </w:r>
    </w:p>
    <w:p w14:paraId="50B9D225" w14:textId="77777777" w:rsidR="007A7BC6" w:rsidRPr="007A7BC6" w:rsidRDefault="007A7BC6" w:rsidP="007A7BC6">
      <w:pPr>
        <w:widowControl w:val="0"/>
        <w:autoSpaceDE w:val="0"/>
        <w:autoSpaceDN w:val="0"/>
        <w:spacing w:after="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Σε σχέση με την πρόταση της ΕΕΤΤ ο ΟΤΕ έχει να επισημάνει τα εξής:</w:t>
      </w:r>
    </w:p>
    <w:p w14:paraId="03BFC277" w14:textId="77777777" w:rsidR="007A7BC6" w:rsidRPr="007A7BC6" w:rsidRDefault="007A7BC6" w:rsidP="00034FBB">
      <w:pPr>
        <w:widowControl w:val="0"/>
        <w:numPr>
          <w:ilvl w:val="0"/>
          <w:numId w:val="3"/>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η καμπύλη εκμάθησης χρησιμοποιείται κυρίως στη βιομηχανία, όπου η συνεχής επανάληψη των ίδιων εργασιών επιτρέπει τη μείωση του κόστους με την εμπειρία. Στις τηλεπικοινωνίες, οι εργασίες πεδίου χαρακτηρίζονται από υψηλή ποικιλία, εξάρτηση από </w:t>
      </w:r>
      <w:r w:rsidRPr="007A7BC6">
        <w:rPr>
          <w:rFonts w:ascii="Calibri" w:eastAsia="Calibri" w:hAnsi="Calibri" w:cs="Calibri"/>
          <w:bCs w:val="0"/>
          <w:kern w:val="0"/>
          <w:sz w:val="24"/>
          <w:szCs w:val="24"/>
          <w:lang w:val="el-GR"/>
          <w14:ligatures w14:val="none"/>
        </w:rPr>
        <w:lastRenderedPageBreak/>
        <w:t>τοπικές συνθήκες και ad hoc ιδιαιτερότητες και δεν αποτελούν επαναλαμβανόμενες «γραμμές παραγωγής». Σύμφωνα με τη βιβλιογραφία</w:t>
      </w:r>
      <w:r w:rsidRPr="007A7BC6">
        <w:rPr>
          <w:rFonts w:ascii="Calibri" w:eastAsia="Calibri" w:hAnsi="Calibri" w:cs="Calibri"/>
          <w:bCs w:val="0"/>
          <w:kern w:val="0"/>
          <w:sz w:val="24"/>
          <w:szCs w:val="24"/>
          <w:vertAlign w:val="superscript"/>
          <w:lang w:val="el-GR"/>
          <w14:ligatures w14:val="none"/>
        </w:rPr>
        <w:footnoteReference w:id="8"/>
      </w:r>
      <w:r w:rsidRPr="007A7BC6">
        <w:rPr>
          <w:rFonts w:ascii="Calibri" w:eastAsia="Calibri" w:hAnsi="Calibri" w:cs="Calibri"/>
          <w:bCs w:val="0"/>
          <w:kern w:val="0"/>
          <w:sz w:val="24"/>
          <w:szCs w:val="24"/>
          <w:lang w:val="el-GR"/>
          <w14:ligatures w14:val="none"/>
        </w:rPr>
        <w:t xml:space="preserve">, τέτοιου είδους </w:t>
      </w:r>
      <w:proofErr w:type="spellStart"/>
      <w:r w:rsidRPr="007A7BC6">
        <w:rPr>
          <w:rFonts w:ascii="Calibri" w:eastAsia="Calibri" w:hAnsi="Calibri" w:cs="Calibri"/>
          <w:bCs w:val="0"/>
          <w:kern w:val="0"/>
          <w:sz w:val="24"/>
          <w:szCs w:val="24"/>
          <w:lang w:val="el-GR"/>
          <w14:ligatures w14:val="none"/>
        </w:rPr>
        <w:t>tasks</w:t>
      </w:r>
      <w:proofErr w:type="spellEnd"/>
      <w:r w:rsidRPr="007A7BC6">
        <w:rPr>
          <w:rFonts w:ascii="Calibri" w:eastAsia="Calibri" w:hAnsi="Calibri" w:cs="Calibri"/>
          <w:bCs w:val="0"/>
          <w:kern w:val="0"/>
          <w:sz w:val="24"/>
          <w:szCs w:val="24"/>
          <w:lang w:val="el-GR"/>
          <w14:ligatures w14:val="none"/>
        </w:rPr>
        <w:t xml:space="preserve"> δεν εμφανίζουν σταθερή καμπύλη μάθησης, καθώς η </w:t>
      </w:r>
      <w:proofErr w:type="spellStart"/>
      <w:r w:rsidRPr="007A7BC6">
        <w:rPr>
          <w:rFonts w:ascii="Calibri" w:eastAsia="Calibri" w:hAnsi="Calibri" w:cs="Calibri"/>
          <w:bCs w:val="0"/>
          <w:kern w:val="0"/>
          <w:sz w:val="24"/>
          <w:szCs w:val="24"/>
          <w:lang w:val="el-GR"/>
          <w14:ligatures w14:val="none"/>
        </w:rPr>
        <w:t>επαναληψιμότητα</w:t>
      </w:r>
      <w:proofErr w:type="spellEnd"/>
      <w:r w:rsidRPr="007A7BC6">
        <w:rPr>
          <w:rFonts w:ascii="Calibri" w:eastAsia="Calibri" w:hAnsi="Calibri" w:cs="Calibri"/>
          <w:bCs w:val="0"/>
          <w:kern w:val="0"/>
          <w:sz w:val="24"/>
          <w:szCs w:val="24"/>
          <w:lang w:val="el-GR"/>
          <w14:ligatures w14:val="none"/>
        </w:rPr>
        <w:t xml:space="preserve"> είναι περιορισμένη και τα εξωτερικά δεδομένα διαφοροποιούνται σημαντικά, επιπλέον παρατηρούνται συχνά ασυνέχειες, διαφοροποιήσεις και φαινόμενα “λήθης”</w:t>
      </w:r>
      <w:r w:rsidRPr="007A7BC6">
        <w:rPr>
          <w:rFonts w:ascii="Calibri" w:eastAsia="Calibri" w:hAnsi="Calibri" w:cs="Calibri"/>
          <w:bCs w:val="0"/>
          <w:kern w:val="0"/>
          <w:sz w:val="24"/>
          <w:szCs w:val="24"/>
          <w:vertAlign w:val="superscript"/>
          <w:lang w:val="el-GR"/>
          <w14:ligatures w14:val="none"/>
        </w:rPr>
        <w:footnoteReference w:id="9"/>
      </w:r>
      <w:r w:rsidRPr="007A7BC6">
        <w:rPr>
          <w:rFonts w:ascii="Calibri" w:eastAsia="Calibri" w:hAnsi="Calibri" w:cs="Calibri"/>
          <w:bCs w:val="0"/>
          <w:kern w:val="0"/>
          <w:sz w:val="24"/>
          <w:szCs w:val="24"/>
          <w:lang w:val="el-GR"/>
          <w14:ligatures w14:val="none"/>
        </w:rPr>
        <w:t>. Αυτή η ανομοιογένεια σημαίνει ότι δεν μπορεί να εφαρμοστεί με ασφάλεια η καμπύλη εκμάθησης για να εκτιμηθούν αυτοματοποιημένες εκπτώσεις κόστους σε πολλά αιτήματα μαζί. Επομένως, η χρήση σταθερών ποσοστών μείωσης δεν συμβαδίζει με τη διεθνή βιβλιογραφία και δεν θεωρείται κατάλληλη μεθοδολογικά για την περίπτωση πολλαπλών/ μαζικών αιτημάτων.  </w:t>
      </w:r>
    </w:p>
    <w:p w14:paraId="6E940DB8" w14:textId="77777777" w:rsidR="007A7BC6" w:rsidRPr="006647F9" w:rsidRDefault="007A7BC6" w:rsidP="00034FBB">
      <w:pPr>
        <w:widowControl w:val="0"/>
        <w:numPr>
          <w:ilvl w:val="0"/>
          <w:numId w:val="3"/>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με τη χρήση της θεωρία της καμπύλης εκμάθησης υπάρχει κίνδυνος </w:t>
      </w:r>
      <w:proofErr w:type="spellStart"/>
      <w:r w:rsidRPr="007A7BC6">
        <w:rPr>
          <w:rFonts w:ascii="Calibri" w:eastAsia="Calibri" w:hAnsi="Calibri" w:cs="Calibri"/>
          <w:bCs w:val="0"/>
          <w:kern w:val="0"/>
          <w:sz w:val="24"/>
          <w:szCs w:val="24"/>
          <w:lang w:val="el-GR"/>
          <w14:ligatures w14:val="none"/>
        </w:rPr>
        <w:t>διπλομέτρησης</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double</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counting</w:t>
      </w:r>
      <w:proofErr w:type="spellEnd"/>
      <w:r w:rsidRPr="007A7BC6">
        <w:rPr>
          <w:rFonts w:ascii="Calibri" w:eastAsia="Calibri" w:hAnsi="Calibri" w:cs="Calibri"/>
          <w:bCs w:val="0"/>
          <w:kern w:val="0"/>
          <w:sz w:val="24"/>
          <w:szCs w:val="24"/>
          <w:lang w:val="el-GR"/>
          <w14:ligatures w14:val="none"/>
        </w:rPr>
        <w:t>) καθώς οι αρχικοί χρόνοι που χρησιμοποιεί η ΕΕΤΤ στους οποίους εφαρμόζει «βελτίωση της παραγωγικότητας» ήδη έχουν λάβει υπόψη βελτιστοποίηση στον χρόνο των τεχνικών του ΟΤΕ μέσω των διαδικασιών ανάθεσης εργασιών του ΟΤΕ</w:t>
      </w:r>
    </w:p>
    <w:p w14:paraId="47B73C0D" w14:textId="77777777" w:rsidR="006647F9" w:rsidRPr="007A7BC6" w:rsidRDefault="006647F9" w:rsidP="006647F9">
      <w:pPr>
        <w:widowControl w:val="0"/>
        <w:autoSpaceDE w:val="0"/>
        <w:autoSpaceDN w:val="0"/>
        <w:spacing w:after="240" w:line="360" w:lineRule="atLeast"/>
        <w:ind w:left="720" w:right="0"/>
        <w:contextualSpacing/>
        <w:jc w:val="both"/>
        <w:rPr>
          <w:rFonts w:ascii="Calibri" w:eastAsia="Calibri" w:hAnsi="Calibri" w:cs="Calibri"/>
          <w:bCs w:val="0"/>
          <w:kern w:val="0"/>
          <w:sz w:val="24"/>
          <w:szCs w:val="24"/>
          <w:lang w:val="el-GR"/>
          <w14:ligatures w14:val="none"/>
        </w:rPr>
      </w:pPr>
    </w:p>
    <w:p w14:paraId="40DF386A"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Μείωση κόστους για πολλαπλά ή μαζικά αιτήματα μπορεί να προκύψει από κοινό προγραμματισμό για περιπτώσεις αιτημάτων που πραγματικά μπορούν να επιτευχθεί οικονομίες κλίμακος. Τέτοιες οικονομίες κλίμακος δεν μπορεί να είναι σε επίπεδο ΑΚ, γιατί σε επίπεδο ΑΚ ο ΟΤΕ ήδη έχει εφαρμόσει τεχνικές βελτιστοποίησης εργασιών. Συνεπώς για υπολογισμό τυχόν εκπτώσεων λόγω κοινού προγραμματισμού ή/και ρυθμό αιτημάτων θα πρέπει τα αιτήματα να οριστούν στο επίπεδο αυτό του δικτύου που μπορούν να επιτευχθούν επιπλέον βελτιστοποιήσεις λόγω πολλαπλών/μαζικών αιτημάτων. Ανάλογα με το αίτημα αυτό μπορεί να επιτευχθεί είτε σε επίπεδο καμπίνας, είτε σε επίπεδο κατοικίας και αφορά τις μεταβάσεις από τον τεχνικό στα σημεία εκτέλεσης των εργασιών</w:t>
      </w:r>
    </w:p>
    <w:p w14:paraId="4E841BFD"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Σε κάθε περίπτωση για την εκτέλεση πολλαπλών ή μαζικών αιτημάτων θα πρέπει τα αιτήματα να υποβάλλονται από τον </w:t>
      </w:r>
      <w:proofErr w:type="spellStart"/>
      <w:r w:rsidRPr="007A7BC6">
        <w:rPr>
          <w:rFonts w:ascii="Calibri" w:eastAsia="Calibri" w:hAnsi="Calibri" w:cs="Calibri"/>
          <w:bCs w:val="0"/>
          <w:kern w:val="0"/>
          <w:sz w:val="24"/>
          <w:szCs w:val="24"/>
          <w:lang w:val="el-GR"/>
          <w14:ligatures w14:val="none"/>
        </w:rPr>
        <w:t>πάροχο</w:t>
      </w:r>
      <w:proofErr w:type="spellEnd"/>
      <w:r w:rsidRPr="007A7BC6">
        <w:rPr>
          <w:rFonts w:ascii="Calibri" w:eastAsia="Calibri" w:hAnsi="Calibri" w:cs="Calibri"/>
          <w:bCs w:val="0"/>
          <w:kern w:val="0"/>
          <w:sz w:val="24"/>
          <w:szCs w:val="24"/>
          <w:lang w:val="el-GR"/>
          <w14:ligatures w14:val="none"/>
        </w:rPr>
        <w:t xml:space="preserve"> ομαδοποιημένα. Επιπλέον για την παρακολούθηση των πολλαπλών/ μαζικών αιτημάτων θα πρέπει τόσο ο ΟΤΕ, όσο και οι </w:t>
      </w:r>
      <w:proofErr w:type="spellStart"/>
      <w:r w:rsidRPr="007A7BC6">
        <w:rPr>
          <w:rFonts w:ascii="Calibri" w:eastAsia="Calibri" w:hAnsi="Calibri" w:cs="Calibri"/>
          <w:bCs w:val="0"/>
          <w:kern w:val="0"/>
          <w:sz w:val="24"/>
          <w:szCs w:val="24"/>
          <w:lang w:val="el-GR"/>
          <w14:ligatures w14:val="none"/>
        </w:rPr>
        <w:t>πάροχοι</w:t>
      </w:r>
      <w:proofErr w:type="spellEnd"/>
      <w:r w:rsidRPr="007A7BC6">
        <w:rPr>
          <w:rFonts w:ascii="Calibri" w:eastAsia="Calibri" w:hAnsi="Calibri" w:cs="Calibri"/>
          <w:bCs w:val="0"/>
          <w:kern w:val="0"/>
          <w:sz w:val="24"/>
          <w:szCs w:val="24"/>
          <w:lang w:val="el-GR"/>
          <w14:ligatures w14:val="none"/>
        </w:rPr>
        <w:t xml:space="preserve"> να προχωρήσουν σε νέες υλοποιήσεις στα πληροφοριακά τους συστήματα με κόστος που θα πρέπει να δικαιολογείται από τις οικονομίες που θα επιτυγχάνουν τόσο οι </w:t>
      </w:r>
      <w:proofErr w:type="spellStart"/>
      <w:r w:rsidRPr="007A7BC6">
        <w:rPr>
          <w:rFonts w:ascii="Calibri" w:eastAsia="Calibri" w:hAnsi="Calibri" w:cs="Calibri"/>
          <w:bCs w:val="0"/>
          <w:kern w:val="0"/>
          <w:sz w:val="24"/>
          <w:szCs w:val="24"/>
          <w:lang w:val="el-GR"/>
          <w14:ligatures w14:val="none"/>
        </w:rPr>
        <w:t>πάροχοι</w:t>
      </w:r>
      <w:proofErr w:type="spellEnd"/>
      <w:r w:rsidRPr="007A7BC6">
        <w:rPr>
          <w:rFonts w:ascii="Calibri" w:eastAsia="Calibri" w:hAnsi="Calibri" w:cs="Calibri"/>
          <w:bCs w:val="0"/>
          <w:kern w:val="0"/>
          <w:sz w:val="24"/>
          <w:szCs w:val="24"/>
          <w:lang w:val="el-GR"/>
          <w14:ligatures w14:val="none"/>
        </w:rPr>
        <w:t xml:space="preserve"> όσο και ο ΟΤΕ. Συνεπώς για εφάπαξ τέλη με πολύ μικρούς όγκους (όπως μεταβάσεις που περιλαμβάνουν υπηρεσίες </w:t>
      </w:r>
      <w:r w:rsidRPr="007A7BC6">
        <w:rPr>
          <w:rFonts w:ascii="Calibri" w:eastAsia="Calibri" w:hAnsi="Calibri" w:cs="Calibri"/>
          <w:bCs w:val="0"/>
          <w:kern w:val="0"/>
          <w:sz w:val="24"/>
          <w:szCs w:val="24"/>
          <w14:ligatures w14:val="none"/>
        </w:rPr>
        <w:t>WLR</w:t>
      </w:r>
      <w:r w:rsidRPr="007A7BC6">
        <w:rPr>
          <w:rFonts w:ascii="Calibri" w:eastAsia="Calibri" w:hAnsi="Calibri" w:cs="Calibri"/>
          <w:bCs w:val="0"/>
          <w:kern w:val="0"/>
          <w:sz w:val="24"/>
          <w:szCs w:val="24"/>
          <w:lang w:val="el-GR"/>
          <w14:ligatures w14:val="none"/>
        </w:rPr>
        <w:t>, Α.ΡΥ.Σ./</w:t>
      </w:r>
      <w:r w:rsidRPr="007A7BC6">
        <w:rPr>
          <w:rFonts w:ascii="Calibri" w:eastAsia="Calibri" w:hAnsi="Calibri" w:cs="Calibri"/>
          <w:bCs w:val="0"/>
          <w:kern w:val="0"/>
          <w:sz w:val="24"/>
          <w:szCs w:val="24"/>
          <w14:ligatures w14:val="none"/>
        </w:rPr>
        <w:t>V</w:t>
      </w:r>
      <w:r w:rsidRPr="007A7BC6">
        <w:rPr>
          <w:rFonts w:ascii="Calibri" w:eastAsia="Calibri" w:hAnsi="Calibri" w:cs="Calibri"/>
          <w:bCs w:val="0"/>
          <w:kern w:val="0"/>
          <w:sz w:val="24"/>
          <w:szCs w:val="24"/>
          <w:lang w:val="el-GR"/>
          <w14:ligatures w14:val="none"/>
        </w:rPr>
        <w:t xml:space="preserve">-Α.ΡΥ.Σ. </w:t>
      </w:r>
      <w:r w:rsidRPr="007A7BC6">
        <w:rPr>
          <w:rFonts w:ascii="Calibri" w:eastAsia="Calibri" w:hAnsi="Calibri" w:cs="Calibri"/>
          <w:bCs w:val="0"/>
          <w:kern w:val="0"/>
          <w:sz w:val="24"/>
          <w:szCs w:val="24"/>
          <w14:ligatures w14:val="none"/>
        </w:rPr>
        <w:lastRenderedPageBreak/>
        <w:t>BRAS</w:t>
      </w:r>
      <w:r w:rsidRPr="007A7BC6">
        <w:rPr>
          <w:rFonts w:ascii="Calibri" w:eastAsia="Calibri" w:hAnsi="Calibri" w:cs="Calibri"/>
          <w:bCs w:val="0"/>
          <w:kern w:val="0"/>
          <w:sz w:val="24"/>
          <w:szCs w:val="24"/>
          <w:lang w:val="el-GR"/>
          <w14:ligatures w14:val="none"/>
        </w:rPr>
        <w:t xml:space="preserve">) δεν δικαιολογείται η σχετική επένδυση. Επίσης για τα εφάπαξ τέλη που δεν υπάρχει μετάβαση τεχνικού ή το κόστος/ τιμή είναι πολύ χαμηλό δεν δικαιολογείται ούτε οικονομία κλίμακος, ούτε και το κόστος υλοποίησης αντίστοιχα. </w:t>
      </w:r>
    </w:p>
    <w:p w14:paraId="3D329ED0" w14:textId="77777777" w:rsidR="007A7BC6" w:rsidRPr="00073E3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Συγκεκριμένα από τις κατηγορίες των πολλαπλών </w:t>
      </w:r>
      <w:r w:rsidRPr="007A7BC6">
        <w:rPr>
          <w:rFonts w:ascii="Calibri" w:eastAsia="Calibri" w:hAnsi="Calibri" w:cs="Calibri"/>
          <w:bCs w:val="0"/>
          <w:kern w:val="0"/>
          <w:sz w:val="24"/>
          <w:szCs w:val="24"/>
          <w14:ligatures w14:val="none"/>
        </w:rPr>
        <w:t>one</w:t>
      </w:r>
      <w:r w:rsidRPr="007A7BC6">
        <w:rPr>
          <w:rFonts w:ascii="Calibri" w:eastAsia="Calibri" w:hAnsi="Calibri" w:cs="Calibri"/>
          <w:bCs w:val="0"/>
          <w:kern w:val="0"/>
          <w:sz w:val="24"/>
          <w:szCs w:val="24"/>
          <w:lang w:val="el-GR"/>
          <w14:ligatures w14:val="none"/>
        </w:rPr>
        <w:t>-</w:t>
      </w:r>
      <w:r w:rsidRPr="007A7BC6">
        <w:rPr>
          <w:rFonts w:ascii="Calibri" w:eastAsia="Calibri" w:hAnsi="Calibri" w:cs="Calibri"/>
          <w:bCs w:val="0"/>
          <w:kern w:val="0"/>
          <w:sz w:val="24"/>
          <w:szCs w:val="24"/>
          <w14:ligatures w14:val="none"/>
        </w:rPr>
        <w:t>off</w:t>
      </w:r>
      <w:r w:rsidRPr="007A7BC6">
        <w:rPr>
          <w:rFonts w:ascii="Calibri" w:eastAsia="Calibri" w:hAnsi="Calibri" w:cs="Calibri"/>
          <w:bCs w:val="0"/>
          <w:kern w:val="0"/>
          <w:sz w:val="24"/>
          <w:szCs w:val="24"/>
          <w:lang w:val="el-GR"/>
          <w14:ligatures w14:val="none"/>
        </w:rPr>
        <w:t xml:space="preserve"> τελών:</w:t>
      </w:r>
    </w:p>
    <w:p w14:paraId="63E798B8" w14:textId="1855311F" w:rsidR="0049204B" w:rsidRPr="00073E36" w:rsidRDefault="0049204B" w:rsidP="007A7BC6">
      <w:pPr>
        <w:widowControl w:val="0"/>
        <w:autoSpaceDE w:val="0"/>
        <w:autoSpaceDN w:val="0"/>
        <w:spacing w:after="240" w:line="360" w:lineRule="atLeast"/>
        <w:ind w:left="0" w:right="0"/>
        <w:jc w:val="both"/>
        <w:rPr>
          <w:rFonts w:ascii="Calibri" w:eastAsia="Calibri" w:hAnsi="Calibri" w:cs="Calibri"/>
          <w:bCs w:val="0"/>
          <w:kern w:val="0"/>
          <w:sz w:val="24"/>
          <w:szCs w:val="24"/>
          <w14:ligatures w14:val="none"/>
        </w:rPr>
      </w:pPr>
      <w:r>
        <w:rPr>
          <w:rFonts w:ascii="Calibri" w:eastAsia="Calibri" w:hAnsi="Calibri" w:cs="Calibri"/>
          <w:bCs w:val="0"/>
          <w:kern w:val="0"/>
          <w:sz w:val="24"/>
          <w:szCs w:val="24"/>
          <w14:ligatures w14:val="none"/>
        </w:rPr>
        <w:sym w:font="Wingdings" w:char="F022"/>
      </w:r>
    </w:p>
    <w:p w14:paraId="0D30250F" w14:textId="77777777" w:rsidR="007A7BC6" w:rsidRPr="00073E3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Συνεπώς για τα πολλαπλά τέλη ο ΟΤΕ παρουσιάζει μία διαφορετική πρόταση για εκπτώσεις που προκύπτει από την ομαδοποίηση των αιτημάτων των παρακάτω εφάπαξ τελών στα προτεινόμενα επίπεδα δικτύου αντίστοιχα:</w:t>
      </w:r>
    </w:p>
    <w:p w14:paraId="41C77C78" w14:textId="77B51741" w:rsidR="0049204B" w:rsidRPr="00073E36" w:rsidRDefault="0049204B" w:rsidP="007A7BC6">
      <w:pPr>
        <w:widowControl w:val="0"/>
        <w:autoSpaceDE w:val="0"/>
        <w:autoSpaceDN w:val="0"/>
        <w:spacing w:after="240" w:line="360" w:lineRule="atLeast"/>
        <w:ind w:left="0" w:right="0"/>
        <w:jc w:val="both"/>
        <w:rPr>
          <w:rFonts w:ascii="Calibri" w:eastAsia="Calibri" w:hAnsi="Calibri" w:cs="Calibri"/>
          <w:bCs w:val="0"/>
          <w:kern w:val="0"/>
          <w:sz w:val="24"/>
          <w:szCs w:val="24"/>
          <w14:ligatures w14:val="none"/>
        </w:rPr>
      </w:pPr>
      <w:r>
        <w:rPr>
          <w:rFonts w:ascii="Calibri" w:eastAsia="Calibri" w:hAnsi="Calibri" w:cs="Calibri"/>
          <w:bCs w:val="0"/>
          <w:kern w:val="0"/>
          <w:sz w:val="24"/>
          <w:szCs w:val="24"/>
          <w14:ligatures w14:val="none"/>
        </w:rPr>
        <w:sym w:font="Wingdings" w:char="F022"/>
      </w:r>
    </w:p>
    <w:p w14:paraId="6451155E" w14:textId="77777777" w:rsidR="007A7BC6" w:rsidRPr="00073E3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Αντίστοιχα για τα μαζικά αιτήματα, για τα εφάπαξ τέλη που δεν υπάρχει μετάβαση τεχνικού ή το κόστος/ τιμή και ο αριθμός των αιτημάτων είναι και προβλέπεται να παραμένει πολύ χαμηλός δεν δικαιολογείται ούτε οικονομία κλίμακος, ούτε και το κόστος υλοποίησης αντίστοιχα. </w:t>
      </w:r>
    </w:p>
    <w:p w14:paraId="1E133296" w14:textId="3AE1C899" w:rsidR="0049204B" w:rsidRPr="00073E36" w:rsidRDefault="0049204B" w:rsidP="007A7BC6">
      <w:pPr>
        <w:widowControl w:val="0"/>
        <w:autoSpaceDE w:val="0"/>
        <w:autoSpaceDN w:val="0"/>
        <w:spacing w:after="240" w:line="360" w:lineRule="atLeast"/>
        <w:ind w:left="0" w:right="0"/>
        <w:jc w:val="both"/>
        <w:rPr>
          <w:rFonts w:ascii="Calibri" w:eastAsia="Calibri" w:hAnsi="Calibri" w:cs="Calibri"/>
          <w:bCs w:val="0"/>
          <w:kern w:val="0"/>
          <w:sz w:val="24"/>
          <w:szCs w:val="24"/>
          <w14:ligatures w14:val="none"/>
        </w:rPr>
      </w:pPr>
      <w:r>
        <w:rPr>
          <w:rFonts w:ascii="Calibri" w:eastAsia="Calibri" w:hAnsi="Calibri" w:cs="Calibri"/>
          <w:bCs w:val="0"/>
          <w:kern w:val="0"/>
          <w:sz w:val="24"/>
          <w:szCs w:val="24"/>
          <w14:ligatures w14:val="none"/>
        </w:rPr>
        <w:sym w:font="Wingdings" w:char="F022"/>
      </w:r>
    </w:p>
    <w:p w14:paraId="27BCBF30" w14:textId="1BB560DF" w:rsidR="007A7BC6" w:rsidRPr="007A7BC6" w:rsidRDefault="007A7BC6" w:rsidP="007A7BC6">
      <w:pPr>
        <w:keepNext/>
        <w:keepLines/>
        <w:widowControl w:val="0"/>
        <w:numPr>
          <w:ilvl w:val="1"/>
          <w:numId w:val="0"/>
        </w:numPr>
        <w:autoSpaceDE w:val="0"/>
        <w:autoSpaceDN w:val="0"/>
        <w:spacing w:before="160" w:after="80" w:line="360" w:lineRule="atLeast"/>
        <w:ind w:left="1080" w:right="0" w:hanging="360"/>
        <w:jc w:val="both"/>
        <w:outlineLvl w:val="2"/>
        <w:rPr>
          <w:rFonts w:asciiTheme="majorHAnsi" w:eastAsiaTheme="majorEastAsia" w:hAnsiTheme="majorHAnsi" w:cstheme="majorBidi"/>
          <w:bCs w:val="0"/>
          <w:color w:val="0F4761" w:themeColor="accent1" w:themeShade="BF"/>
          <w:kern w:val="0"/>
          <w:sz w:val="28"/>
          <w:szCs w:val="28"/>
          <w:lang w:val="el-GR"/>
          <w14:ligatures w14:val="none"/>
        </w:rPr>
      </w:pPr>
      <w:r w:rsidRPr="007A7BC6">
        <w:rPr>
          <w:rFonts w:ascii="Calibri" w:eastAsia="Calibri" w:hAnsi="Calibri" w:cs="Calibri"/>
          <w:bCs w:val="0"/>
          <w:kern w:val="0"/>
          <w:sz w:val="24"/>
          <w:szCs w:val="24"/>
          <w:lang w:val="el-GR"/>
          <w14:ligatures w14:val="none"/>
        </w:rPr>
        <w:t xml:space="preserve">Συνεπώς για τα μαζικά τέλη ο ΟΤΕ παρουσιάζει μία διαφορετική πρόταση για εκπτώσεις που προκύπτει από την ομαδοποίηση των αιτημάτων </w:t>
      </w:r>
      <w:r w:rsidR="0049204B">
        <w:rPr>
          <w:rFonts w:ascii="Calibri" w:eastAsia="Calibri" w:hAnsi="Calibri" w:cs="Calibri"/>
          <w:bCs w:val="0"/>
          <w:kern w:val="0"/>
          <w:sz w:val="24"/>
          <w:szCs w:val="24"/>
          <w:lang w:val="el-GR"/>
          <w14:ligatures w14:val="none"/>
        </w:rPr>
        <w:sym w:font="Wingdings" w:char="F022"/>
      </w:r>
      <w:r w:rsidR="0049204B" w:rsidRPr="00073E36">
        <w:rPr>
          <w:rFonts w:ascii="Calibri" w:eastAsia="Calibri" w:hAnsi="Calibri" w:cs="Calibri"/>
          <w:bCs w:val="0"/>
          <w:kern w:val="0"/>
          <w:sz w:val="24"/>
          <w:szCs w:val="24"/>
          <w:lang w:val="el-GR"/>
          <w14:ligatures w14:val="none"/>
        </w:rPr>
        <w:t xml:space="preserve"> </w:t>
      </w:r>
      <w:r w:rsidRPr="007A7BC6">
        <w:rPr>
          <w:rFonts w:asciiTheme="majorHAnsi" w:eastAsiaTheme="majorEastAsia" w:hAnsiTheme="majorHAnsi" w:cstheme="majorBidi"/>
          <w:bCs w:val="0"/>
          <w:color w:val="0F4761" w:themeColor="accent1" w:themeShade="BF"/>
          <w:kern w:val="0"/>
          <w:sz w:val="28"/>
          <w:szCs w:val="28"/>
          <w:lang w:val="el-GR"/>
          <w14:ligatures w14:val="none"/>
        </w:rPr>
        <w:t xml:space="preserve">Εφάπαξ τέλη υπηρεσιών: ημερομίσθιο προσωπικού </w:t>
      </w:r>
    </w:p>
    <w:p w14:paraId="0EFF6A62" w14:textId="77777777" w:rsidR="007A7BC6" w:rsidRPr="007A7BC6" w:rsidRDefault="007A7BC6" w:rsidP="007A7BC6">
      <w:pPr>
        <w:widowControl w:val="0"/>
        <w:autoSpaceDE w:val="0"/>
        <w:autoSpaceDN w:val="0"/>
        <w:spacing w:after="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Παρατηρούμε ότι:</w:t>
      </w:r>
    </w:p>
    <w:p w14:paraId="77A0F230" w14:textId="77777777" w:rsidR="007A7BC6" w:rsidRPr="007A7BC6" w:rsidRDefault="007A7BC6" w:rsidP="00034FBB">
      <w:pPr>
        <w:widowControl w:val="0"/>
        <w:numPr>
          <w:ilvl w:val="0"/>
          <w:numId w:val="10"/>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το ωρομίσθιο του μηχανικού (στήλες Ε, G στα φύλλα «Αγορά 3α_Summary», «</w:t>
      </w:r>
      <w:proofErr w:type="spellStart"/>
      <w:r w:rsidRPr="007A7BC6">
        <w:rPr>
          <w:rFonts w:ascii="Calibri" w:eastAsia="Calibri" w:hAnsi="Calibri" w:cs="Calibri"/>
          <w:bCs w:val="0"/>
          <w:kern w:val="0"/>
          <w:sz w:val="24"/>
          <w:szCs w:val="24"/>
          <w:lang w:val="el-GR"/>
          <w14:ligatures w14:val="none"/>
        </w:rPr>
        <w:t>Multiple_requests</w:t>
      </w:r>
      <w:proofErr w:type="spellEnd"/>
      <w:r w:rsidRPr="007A7BC6">
        <w:rPr>
          <w:rFonts w:ascii="Calibri" w:eastAsia="Calibri" w:hAnsi="Calibri" w:cs="Calibri"/>
          <w:bCs w:val="0"/>
          <w:kern w:val="0"/>
          <w:sz w:val="24"/>
          <w:szCs w:val="24"/>
          <w:lang w:val="el-GR"/>
          <w14:ligatures w14:val="none"/>
        </w:rPr>
        <w:t>», «</w:t>
      </w:r>
      <w:proofErr w:type="spellStart"/>
      <w:r w:rsidRPr="007A7BC6">
        <w:rPr>
          <w:rFonts w:ascii="Calibri" w:eastAsia="Calibri" w:hAnsi="Calibri" w:cs="Calibri"/>
          <w:bCs w:val="0"/>
          <w:kern w:val="0"/>
          <w:sz w:val="24"/>
          <w:szCs w:val="24"/>
          <w:lang w:val="el-GR"/>
          <w14:ligatures w14:val="none"/>
        </w:rPr>
        <w:t>Bulk_requests</w:t>
      </w:r>
      <w:proofErr w:type="spellEnd"/>
      <w:r w:rsidRPr="007A7BC6">
        <w:rPr>
          <w:rFonts w:ascii="Calibri" w:eastAsia="Calibri" w:hAnsi="Calibri" w:cs="Calibri"/>
          <w:bCs w:val="0"/>
          <w:kern w:val="0"/>
          <w:sz w:val="24"/>
          <w:szCs w:val="24"/>
          <w:lang w:val="el-GR"/>
          <w14:ligatures w14:val="none"/>
        </w:rPr>
        <w:t>») εμφανίζεται μικρότερο από το ωρομίσθιο του τεχνικού (στήλες K, M), δεν δικαιολογείται από μεθοδολογική άποψη καθώς δεν αντανακλά τη δομή κόστους και την ιεραρχία εξειδίκευσης των εμπλεκόμενων ειδικοτήτων.</w:t>
      </w:r>
    </w:p>
    <w:p w14:paraId="74780B4D" w14:textId="7C7B4657" w:rsidR="007A7BC6" w:rsidRPr="00CC4FBC" w:rsidRDefault="007A7BC6" w:rsidP="00034FBB">
      <w:pPr>
        <w:widowControl w:val="0"/>
        <w:numPr>
          <w:ilvl w:val="0"/>
          <w:numId w:val="10"/>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Διαπιστώνεται ότι τα ωρομίσθια όλων των στελεχών που χρησιμοποιούνται στο μοντέλο είναι χαμηλότερα από τα επίπεδα που ανταποκρίνονται στη σημερινή αγορά εργασίας. Θεωρούμε ότι στον υπολογισμό του κόστους ημερομισθίων, δεν έχει ενσωματωθεί το έμμεσο κόστος (</w:t>
      </w:r>
      <w:proofErr w:type="spellStart"/>
      <w:r w:rsidRPr="007A7BC6">
        <w:rPr>
          <w:rFonts w:ascii="Calibri" w:eastAsia="Calibri" w:hAnsi="Calibri" w:cs="Calibri"/>
          <w:bCs w:val="0"/>
          <w:kern w:val="0"/>
          <w:sz w:val="24"/>
          <w:szCs w:val="24"/>
          <w:lang w:val="el-GR"/>
          <w14:ligatures w14:val="none"/>
        </w:rPr>
        <w:t>indirect</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cost</w:t>
      </w:r>
      <w:proofErr w:type="spellEnd"/>
      <w:r w:rsidRPr="007A7BC6">
        <w:rPr>
          <w:rFonts w:ascii="Calibri" w:eastAsia="Calibri" w:hAnsi="Calibri" w:cs="Calibri"/>
          <w:bCs w:val="0"/>
          <w:kern w:val="0"/>
          <w:sz w:val="24"/>
          <w:szCs w:val="24"/>
          <w:lang w:val="el-GR"/>
          <w14:ligatures w14:val="none"/>
        </w:rPr>
        <w:t xml:space="preserve">), το οποίο σύμφωνα με το Ε.ΚΟ.Σ του ΟΤΕ ανέρχεται σε </w:t>
      </w:r>
      <w:r w:rsidR="0049204B">
        <w:rPr>
          <w:rFonts w:ascii="Calibri" w:eastAsia="Calibri" w:hAnsi="Calibri" w:cs="Calibri"/>
          <w:bCs w:val="0"/>
          <w:kern w:val="0"/>
          <w:sz w:val="24"/>
          <w:szCs w:val="24"/>
          <w:lang w:val="el-GR"/>
          <w14:ligatures w14:val="none"/>
        </w:rPr>
        <w:sym w:font="Wingdings" w:char="F022"/>
      </w:r>
      <w:r w:rsidRPr="00CC4FBC">
        <w:rPr>
          <w:rFonts w:ascii="Calibri" w:eastAsia="Calibri" w:hAnsi="Calibri" w:cs="Calibri"/>
          <w:bCs w:val="0"/>
          <w:kern w:val="0"/>
          <w:sz w:val="24"/>
          <w:szCs w:val="24"/>
          <w:lang w:val="el-GR"/>
          <w14:ligatures w14:val="none"/>
        </w:rPr>
        <w:t xml:space="preserve">, που οδηγεί σε υποεκτίμηση του πραγματικού κόστους εργασιών πεδίου. </w:t>
      </w:r>
    </w:p>
    <w:p w14:paraId="5FF3086B" w14:textId="46BC9753" w:rsidR="007A7BC6" w:rsidRPr="007A7BC6" w:rsidRDefault="0049204B" w:rsidP="007A7BC6">
      <w:pPr>
        <w:widowControl w:val="0"/>
        <w:autoSpaceDE w:val="0"/>
        <w:autoSpaceDN w:val="0"/>
        <w:spacing w:after="0" w:line="360" w:lineRule="atLeast"/>
        <w:ind w:left="0" w:right="0"/>
        <w:jc w:val="both"/>
        <w:rPr>
          <w:rFonts w:ascii="Calibri" w:eastAsia="Calibri" w:hAnsi="Calibri" w:cs="Calibri"/>
          <w:bCs w:val="0"/>
          <w:kern w:val="0"/>
          <w:sz w:val="24"/>
          <w:szCs w:val="24"/>
          <w:lang w:val="el-GR"/>
          <w14:ligatures w14:val="none"/>
        </w:rPr>
      </w:pPr>
      <w:r w:rsidRPr="00CC4FBC">
        <w:rPr>
          <w:rFonts w:ascii="Calibri" w:eastAsia="Calibri" w:hAnsi="Calibri" w:cs="Calibri"/>
          <w:bCs w:val="0"/>
          <w:kern w:val="0"/>
          <w:sz w:val="24"/>
          <w:szCs w:val="24"/>
          <w:lang w:val="el-GR"/>
          <w14:ligatures w14:val="none"/>
        </w:rPr>
        <w:sym w:font="Wingdings" w:char="F022"/>
      </w:r>
      <w:r w:rsidRPr="00CC4FBC">
        <w:rPr>
          <w:rFonts w:ascii="Calibri" w:eastAsia="Calibri" w:hAnsi="Calibri" w:cs="Calibri"/>
          <w:bCs w:val="0"/>
          <w:kern w:val="0"/>
          <w:sz w:val="24"/>
          <w:szCs w:val="24"/>
          <w:lang w:val="el-GR"/>
          <w14:ligatures w14:val="none"/>
        </w:rPr>
        <w:t xml:space="preserve"> </w:t>
      </w:r>
      <w:r w:rsidR="007A7BC6" w:rsidRPr="00CC4FBC">
        <w:rPr>
          <w:rFonts w:ascii="Calibri" w:eastAsia="Calibri" w:hAnsi="Calibri" w:cs="Calibri"/>
          <w:bCs w:val="0"/>
          <w:kern w:val="0"/>
          <w:sz w:val="24"/>
          <w:szCs w:val="24"/>
          <w:lang w:val="el-GR"/>
          <w14:ligatures w14:val="none"/>
        </w:rPr>
        <w:t>Η ΕΕΤΤ θα πρέπει να επανεξετάσει τις παραδοχές περί ωρομισθίων και υπολογισμού ημερομισθίων στο μοντέλο, ώστε</w:t>
      </w:r>
      <w:r w:rsidR="007A7BC6" w:rsidRPr="007A7BC6">
        <w:rPr>
          <w:rFonts w:ascii="Calibri" w:eastAsia="Calibri" w:hAnsi="Calibri" w:cs="Calibri"/>
          <w:bCs w:val="0"/>
          <w:kern w:val="0"/>
          <w:sz w:val="24"/>
          <w:szCs w:val="24"/>
          <w:lang w:val="el-GR"/>
          <w14:ligatures w14:val="none"/>
        </w:rPr>
        <w:t>:</w:t>
      </w:r>
    </w:p>
    <w:p w14:paraId="0996E35D" w14:textId="77777777" w:rsidR="007A7BC6" w:rsidRPr="007A7BC6" w:rsidRDefault="007A7BC6" w:rsidP="00034FBB">
      <w:pPr>
        <w:widowControl w:val="0"/>
        <w:numPr>
          <w:ilvl w:val="0"/>
          <w:numId w:val="14"/>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lastRenderedPageBreak/>
        <w:t>να διορθωθεί η μεθοδολογική ασυνέπεια μεταξύ του κόστους μηχανικών και τεχνικών,</w:t>
      </w:r>
    </w:p>
    <w:p w14:paraId="7C9D2F3D" w14:textId="77777777" w:rsidR="007A7BC6" w:rsidRPr="007A7BC6" w:rsidRDefault="007A7BC6" w:rsidP="00034FBB">
      <w:pPr>
        <w:widowControl w:val="0"/>
        <w:numPr>
          <w:ilvl w:val="0"/>
          <w:numId w:val="14"/>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να ενσωματωθεί το έμμεσο κόστος (</w:t>
      </w:r>
      <w:proofErr w:type="spellStart"/>
      <w:r w:rsidRPr="007A7BC6">
        <w:rPr>
          <w:rFonts w:ascii="Calibri" w:eastAsia="Calibri" w:hAnsi="Calibri" w:cs="Calibri"/>
          <w:bCs w:val="0"/>
          <w:kern w:val="0"/>
          <w:sz w:val="24"/>
          <w:szCs w:val="24"/>
          <w:lang w:val="el-GR"/>
          <w14:ligatures w14:val="none"/>
        </w:rPr>
        <w:t>indirect</w:t>
      </w:r>
      <w:proofErr w:type="spellEnd"/>
      <w:r w:rsidRPr="007A7BC6">
        <w:rPr>
          <w:rFonts w:ascii="Calibri" w:eastAsia="Calibri" w:hAnsi="Calibri" w:cs="Calibri"/>
          <w:bCs w:val="0"/>
          <w:kern w:val="0"/>
          <w:sz w:val="24"/>
          <w:szCs w:val="24"/>
          <w:lang w:val="el-GR"/>
          <w14:ligatures w14:val="none"/>
        </w:rPr>
        <w:t xml:space="preserve"> </w:t>
      </w:r>
      <w:proofErr w:type="spellStart"/>
      <w:r w:rsidRPr="007A7BC6">
        <w:rPr>
          <w:rFonts w:ascii="Calibri" w:eastAsia="Calibri" w:hAnsi="Calibri" w:cs="Calibri"/>
          <w:bCs w:val="0"/>
          <w:kern w:val="0"/>
          <w:sz w:val="24"/>
          <w:szCs w:val="24"/>
          <w:lang w:val="el-GR"/>
          <w14:ligatures w14:val="none"/>
        </w:rPr>
        <w:t>cost</w:t>
      </w:r>
      <w:proofErr w:type="spellEnd"/>
      <w:r w:rsidRPr="007A7BC6">
        <w:rPr>
          <w:rFonts w:ascii="Calibri" w:eastAsia="Calibri" w:hAnsi="Calibri" w:cs="Calibri"/>
          <w:bCs w:val="0"/>
          <w:kern w:val="0"/>
          <w:sz w:val="24"/>
          <w:szCs w:val="24"/>
          <w:lang w:val="el-GR"/>
          <w14:ligatures w14:val="none"/>
        </w:rPr>
        <w:t>) σύμφωνα με τα πραγματικά δεδομένα της αγοράς, και</w:t>
      </w:r>
    </w:p>
    <w:p w14:paraId="352A29CD" w14:textId="77777777" w:rsidR="007A7BC6" w:rsidRPr="007A7BC6" w:rsidRDefault="007A7BC6" w:rsidP="00034FBB">
      <w:pPr>
        <w:widowControl w:val="0"/>
        <w:numPr>
          <w:ilvl w:val="0"/>
          <w:numId w:val="14"/>
        </w:numPr>
        <w:autoSpaceDE w:val="0"/>
        <w:autoSpaceDN w:val="0"/>
        <w:spacing w:after="240" w:line="360" w:lineRule="atLeast"/>
        <w:ind w:right="0"/>
        <w:contextualSpacing/>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να προσαρμοστούν οι τιμές στα επίπεδα που αντανακλούν το πραγματικό κόστος εργασιών πεδίου.</w:t>
      </w:r>
    </w:p>
    <w:p w14:paraId="2D927404" w14:textId="77777777" w:rsidR="007A7BC6" w:rsidRPr="007A7BC6" w:rsidRDefault="007A7BC6" w:rsidP="007A7BC6">
      <w:pPr>
        <w:widowControl w:val="0"/>
        <w:autoSpaceDE w:val="0"/>
        <w:autoSpaceDN w:val="0"/>
        <w:spacing w:after="240" w:line="360" w:lineRule="atLeast"/>
        <w:ind w:left="0" w:right="0"/>
        <w:jc w:val="both"/>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t xml:space="preserve">Η αναθεώρηση αυτή είναι αναγκαία για να διασφαλιστεί ότι το μοντέλο αποτυπώνει ρεαλιστικά κόστη εργασίας, σύμφωνα με τη δομή κόστους των </w:t>
      </w:r>
      <w:proofErr w:type="spellStart"/>
      <w:r w:rsidRPr="007A7BC6">
        <w:rPr>
          <w:rFonts w:ascii="Calibri" w:eastAsia="Calibri" w:hAnsi="Calibri" w:cs="Calibri"/>
          <w:bCs w:val="0"/>
          <w:kern w:val="0"/>
          <w:sz w:val="24"/>
          <w:szCs w:val="24"/>
          <w:lang w:val="el-GR"/>
          <w14:ligatures w14:val="none"/>
        </w:rPr>
        <w:t>παρόχων</w:t>
      </w:r>
      <w:proofErr w:type="spellEnd"/>
      <w:r w:rsidRPr="007A7BC6">
        <w:rPr>
          <w:rFonts w:ascii="Calibri" w:eastAsia="Calibri" w:hAnsi="Calibri" w:cs="Calibri"/>
          <w:bCs w:val="0"/>
          <w:kern w:val="0"/>
          <w:sz w:val="24"/>
          <w:szCs w:val="24"/>
          <w:lang w:val="el-GR"/>
          <w14:ligatures w14:val="none"/>
        </w:rPr>
        <w:t xml:space="preserve"> και τις τρέχουσες συνθήκες της ελληνικής αγοράς.</w:t>
      </w:r>
    </w:p>
    <w:p w14:paraId="66798F6C" w14:textId="77777777" w:rsidR="007A7BC6" w:rsidRPr="007A7BC6" w:rsidRDefault="007A7BC6" w:rsidP="007A7BC6">
      <w:pPr>
        <w:spacing w:after="160" w:line="259" w:lineRule="auto"/>
        <w:ind w:left="0" w:right="0"/>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br w:type="page"/>
      </w:r>
    </w:p>
    <w:p w14:paraId="6080177F" w14:textId="77777777" w:rsidR="007A7BC6" w:rsidRDefault="007A7BC6" w:rsidP="007A7BC6">
      <w:pPr>
        <w:widowControl w:val="0"/>
        <w:autoSpaceDE w:val="0"/>
        <w:autoSpaceDN w:val="0"/>
        <w:spacing w:after="240" w:line="360" w:lineRule="atLeast"/>
        <w:ind w:left="0" w:right="0"/>
        <w:jc w:val="center"/>
        <w:rPr>
          <w:rFonts w:ascii="Calibri" w:eastAsia="Calibri" w:hAnsi="Calibri" w:cs="Calibri"/>
          <w:b/>
          <w:kern w:val="0"/>
          <w:sz w:val="28"/>
          <w:szCs w:val="28"/>
          <w14:ligatures w14:val="none"/>
        </w:rPr>
      </w:pPr>
      <w:r w:rsidRPr="007A7BC6">
        <w:rPr>
          <w:rFonts w:ascii="Calibri" w:eastAsia="Calibri" w:hAnsi="Calibri" w:cs="Calibri"/>
          <w:b/>
          <w:kern w:val="0"/>
          <w:sz w:val="28"/>
          <w:szCs w:val="28"/>
          <w:lang w:val="el-GR"/>
          <w14:ligatures w14:val="none"/>
        </w:rPr>
        <w:lastRenderedPageBreak/>
        <w:t>ΠΑΡΑΡΤΗΜΑ Ι</w:t>
      </w:r>
    </w:p>
    <w:p w14:paraId="5D4947CA" w14:textId="72F32255" w:rsidR="0049204B" w:rsidRDefault="0049204B" w:rsidP="007A7BC6">
      <w:pPr>
        <w:widowControl w:val="0"/>
        <w:autoSpaceDE w:val="0"/>
        <w:autoSpaceDN w:val="0"/>
        <w:spacing w:after="240" w:line="360" w:lineRule="atLeast"/>
        <w:ind w:left="0" w:right="0"/>
        <w:jc w:val="center"/>
        <w:rPr>
          <w:rFonts w:ascii="Calibri" w:eastAsia="Calibri" w:hAnsi="Calibri" w:cs="Calibri"/>
          <w:b/>
          <w:kern w:val="0"/>
          <w:sz w:val="28"/>
          <w:szCs w:val="28"/>
          <w14:ligatures w14:val="none"/>
        </w:rPr>
      </w:pPr>
      <w:r>
        <w:rPr>
          <w:rFonts w:ascii="Calibri" w:eastAsia="Calibri" w:hAnsi="Calibri" w:cs="Calibri"/>
          <w:b/>
          <w:kern w:val="0"/>
          <w:sz w:val="28"/>
          <w:szCs w:val="28"/>
          <w14:ligatures w14:val="none"/>
        </w:rPr>
        <w:sym w:font="Wingdings" w:char="F022"/>
      </w:r>
    </w:p>
    <w:p w14:paraId="48108D29" w14:textId="77777777" w:rsidR="00CC4FBC" w:rsidRDefault="00CC4FBC" w:rsidP="007A7BC6">
      <w:pPr>
        <w:widowControl w:val="0"/>
        <w:autoSpaceDE w:val="0"/>
        <w:autoSpaceDN w:val="0"/>
        <w:spacing w:after="240" w:line="360" w:lineRule="atLeast"/>
        <w:ind w:left="0" w:right="0"/>
        <w:jc w:val="center"/>
        <w:rPr>
          <w:rFonts w:ascii="Calibri" w:eastAsia="Calibri" w:hAnsi="Calibri" w:cs="Calibri"/>
          <w:b/>
          <w:kern w:val="0"/>
          <w:sz w:val="28"/>
          <w:szCs w:val="28"/>
          <w14:ligatures w14:val="none"/>
        </w:rPr>
      </w:pPr>
    </w:p>
    <w:p w14:paraId="40DE2FDC" w14:textId="26DEE4D6" w:rsidR="00CC4FBC" w:rsidRDefault="00CC4FBC">
      <w:pPr>
        <w:spacing w:after="160" w:line="259" w:lineRule="auto"/>
        <w:ind w:left="0" w:right="0"/>
        <w:rPr>
          <w:rFonts w:ascii="Calibri" w:eastAsia="Calibri" w:hAnsi="Calibri" w:cs="Calibri"/>
          <w:b/>
          <w:kern w:val="0"/>
          <w:sz w:val="28"/>
          <w:szCs w:val="28"/>
          <w14:ligatures w14:val="none"/>
        </w:rPr>
      </w:pPr>
      <w:r>
        <w:rPr>
          <w:rFonts w:ascii="Calibri" w:eastAsia="Calibri" w:hAnsi="Calibri" w:cs="Calibri"/>
          <w:b/>
          <w:kern w:val="0"/>
          <w:sz w:val="28"/>
          <w:szCs w:val="28"/>
          <w14:ligatures w14:val="none"/>
        </w:rPr>
        <w:br w:type="page"/>
      </w:r>
    </w:p>
    <w:p w14:paraId="45D2AA4F" w14:textId="2972769D" w:rsidR="00BB299D" w:rsidRDefault="007A7BC6" w:rsidP="007A7BC6">
      <w:pPr>
        <w:widowControl w:val="0"/>
        <w:autoSpaceDE w:val="0"/>
        <w:autoSpaceDN w:val="0"/>
        <w:spacing w:after="240" w:line="360" w:lineRule="atLeast"/>
        <w:ind w:left="0" w:right="0"/>
        <w:jc w:val="center"/>
        <w:rPr>
          <w:rFonts w:ascii="Calibri" w:eastAsia="Calibri" w:hAnsi="Calibri" w:cs="Calibri"/>
          <w:b/>
          <w:kern w:val="0"/>
          <w:sz w:val="28"/>
          <w:szCs w:val="28"/>
          <w14:ligatures w14:val="none"/>
        </w:rPr>
      </w:pPr>
      <w:r w:rsidRPr="007A7BC6">
        <w:rPr>
          <w:rFonts w:ascii="Calibri" w:eastAsia="Calibri" w:hAnsi="Calibri" w:cs="Calibri"/>
          <w:b/>
          <w:kern w:val="0"/>
          <w:sz w:val="28"/>
          <w:szCs w:val="28"/>
          <w:lang w:val="el-GR"/>
          <w14:ligatures w14:val="none"/>
        </w:rPr>
        <w:lastRenderedPageBreak/>
        <w:t>ΠΑΡΑΡΤΗΜΑ ΙΙ</w:t>
      </w:r>
    </w:p>
    <w:p w14:paraId="2F180C2B" w14:textId="37FCA6FE" w:rsidR="0049204B" w:rsidRPr="00073E36" w:rsidRDefault="0049204B" w:rsidP="007A7BC6">
      <w:pPr>
        <w:widowControl w:val="0"/>
        <w:autoSpaceDE w:val="0"/>
        <w:autoSpaceDN w:val="0"/>
        <w:spacing w:after="240" w:line="360" w:lineRule="atLeast"/>
        <w:ind w:left="0" w:right="0"/>
        <w:jc w:val="center"/>
        <w:rPr>
          <w:rFonts w:ascii="Calibri" w:eastAsia="Calibri" w:hAnsi="Calibri" w:cs="Calibri"/>
          <w:b/>
          <w:kern w:val="0"/>
          <w:sz w:val="24"/>
          <w:szCs w:val="24"/>
          <w14:ligatures w14:val="none"/>
        </w:rPr>
      </w:pPr>
      <w:r>
        <w:rPr>
          <w:rFonts w:ascii="Calibri" w:eastAsia="Calibri" w:hAnsi="Calibri" w:cs="Calibri"/>
          <w:b/>
          <w:kern w:val="0"/>
          <w:sz w:val="28"/>
          <w:szCs w:val="28"/>
          <w14:ligatures w14:val="none"/>
        </w:rPr>
        <w:sym w:font="Wingdings" w:char="F022"/>
      </w:r>
    </w:p>
    <w:p w14:paraId="01349955" w14:textId="77777777" w:rsidR="007A7BC6" w:rsidRPr="007A7BC6" w:rsidRDefault="007A7BC6" w:rsidP="007A7BC6">
      <w:pPr>
        <w:spacing w:after="160" w:line="259" w:lineRule="auto"/>
        <w:ind w:left="0" w:right="0"/>
        <w:rPr>
          <w:rFonts w:ascii="Calibri" w:eastAsia="Calibri" w:hAnsi="Calibri" w:cs="Calibri"/>
          <w:bCs w:val="0"/>
          <w:kern w:val="0"/>
          <w:sz w:val="24"/>
          <w:szCs w:val="24"/>
          <w:lang w:val="el-GR"/>
          <w14:ligatures w14:val="none"/>
        </w:rPr>
      </w:pPr>
      <w:r w:rsidRPr="007A7BC6">
        <w:rPr>
          <w:rFonts w:ascii="Calibri" w:eastAsia="Calibri" w:hAnsi="Calibri" w:cs="Calibri"/>
          <w:bCs w:val="0"/>
          <w:kern w:val="0"/>
          <w:sz w:val="24"/>
          <w:szCs w:val="24"/>
          <w:lang w:val="el-GR"/>
          <w14:ligatures w14:val="none"/>
        </w:rPr>
        <w:br w:type="page"/>
      </w:r>
    </w:p>
    <w:p w14:paraId="59EAF8B1" w14:textId="3FF0E83E" w:rsidR="007A7BC6" w:rsidRPr="00441F4A" w:rsidRDefault="007A7BC6" w:rsidP="007A7BC6">
      <w:pPr>
        <w:widowControl w:val="0"/>
        <w:autoSpaceDE w:val="0"/>
        <w:autoSpaceDN w:val="0"/>
        <w:spacing w:after="240" w:line="360" w:lineRule="atLeast"/>
        <w:ind w:left="0" w:right="0"/>
        <w:jc w:val="center"/>
        <w:rPr>
          <w:rFonts w:ascii="Calibri" w:eastAsia="Calibri" w:hAnsi="Calibri" w:cs="Calibri"/>
          <w:b/>
          <w:kern w:val="0"/>
          <w:sz w:val="28"/>
          <w:szCs w:val="28"/>
          <w:lang w:val="el-GR"/>
          <w14:ligatures w14:val="none"/>
        </w:rPr>
      </w:pPr>
      <w:r w:rsidRPr="007A7BC6">
        <w:rPr>
          <w:rFonts w:ascii="Calibri" w:eastAsia="Calibri" w:hAnsi="Calibri" w:cs="Calibri"/>
          <w:b/>
          <w:kern w:val="0"/>
          <w:sz w:val="28"/>
          <w:szCs w:val="28"/>
          <w:lang w:val="el-GR"/>
          <w14:ligatures w14:val="none"/>
        </w:rPr>
        <w:lastRenderedPageBreak/>
        <w:t>ΠΑΡΑΡΤΗΜΑ ΙΙ</w:t>
      </w:r>
    </w:p>
    <w:p w14:paraId="3D2E9447" w14:textId="3A08998E" w:rsidR="0049204B" w:rsidRPr="00073E36" w:rsidRDefault="0049204B" w:rsidP="007A7BC6">
      <w:pPr>
        <w:widowControl w:val="0"/>
        <w:autoSpaceDE w:val="0"/>
        <w:autoSpaceDN w:val="0"/>
        <w:spacing w:after="240" w:line="360" w:lineRule="atLeast"/>
        <w:ind w:left="0" w:right="0"/>
        <w:jc w:val="center"/>
        <w:rPr>
          <w:rFonts w:ascii="Calibri" w:eastAsia="Calibri" w:hAnsi="Calibri" w:cs="Calibri"/>
          <w:b/>
          <w:kern w:val="0"/>
          <w:sz w:val="24"/>
          <w:szCs w:val="24"/>
          <w14:ligatures w14:val="none"/>
        </w:rPr>
      </w:pPr>
      <w:r>
        <w:rPr>
          <w:rFonts w:ascii="Calibri" w:eastAsia="Calibri" w:hAnsi="Calibri" w:cs="Calibri"/>
          <w:b/>
          <w:kern w:val="0"/>
          <w:sz w:val="28"/>
          <w:szCs w:val="28"/>
          <w14:ligatures w14:val="none"/>
        </w:rPr>
        <w:sym w:font="Wingdings" w:char="F022"/>
      </w:r>
    </w:p>
    <w:p w14:paraId="0400F3ED" w14:textId="77777777" w:rsidR="007A7BC6" w:rsidRPr="007A7BC6" w:rsidRDefault="007A7BC6" w:rsidP="007A7BC6">
      <w:pPr>
        <w:rPr>
          <w:lang w:val="el-GR"/>
        </w:rPr>
      </w:pPr>
    </w:p>
    <w:sectPr w:rsidR="007A7BC6" w:rsidRPr="007A7BC6" w:rsidSect="009F5BB3">
      <w:headerReference w:type="default" r:id="rId8"/>
      <w:footerReference w:type="default" r:id="rId9"/>
      <w:pgSz w:w="11906" w:h="16838"/>
      <w:pgMar w:top="1440" w:right="1274" w:bottom="1440" w:left="993"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6A690" w14:textId="77777777" w:rsidR="00075FD3" w:rsidRDefault="00075FD3" w:rsidP="00A14AA2">
      <w:pPr>
        <w:spacing w:after="0"/>
      </w:pPr>
      <w:r>
        <w:separator/>
      </w:r>
    </w:p>
  </w:endnote>
  <w:endnote w:type="continuationSeparator" w:id="0">
    <w:p w14:paraId="6B7A3B28" w14:textId="77777777" w:rsidR="00075FD3" w:rsidRDefault="00075FD3" w:rsidP="00A14A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Math">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1691270"/>
      <w:docPartObj>
        <w:docPartGallery w:val="Page Numbers (Bottom of Page)"/>
        <w:docPartUnique/>
      </w:docPartObj>
    </w:sdtPr>
    <w:sdtEndPr/>
    <w:sdtContent>
      <w:p w14:paraId="3BD6C4B3" w14:textId="1714E458" w:rsidR="009822D4" w:rsidRDefault="009822D4">
        <w:pPr>
          <w:pStyle w:val="Footer"/>
          <w:jc w:val="right"/>
        </w:pPr>
        <w:r>
          <w:fldChar w:fldCharType="begin"/>
        </w:r>
        <w:r>
          <w:instrText>PAGE   \* MERGEFORMAT</w:instrText>
        </w:r>
        <w:r>
          <w:fldChar w:fldCharType="separate"/>
        </w:r>
        <w:r>
          <w:rPr>
            <w:lang w:val="el-GR"/>
          </w:rPr>
          <w:t>2</w:t>
        </w:r>
        <w:r>
          <w:fldChar w:fldCharType="end"/>
        </w:r>
      </w:p>
    </w:sdtContent>
  </w:sdt>
  <w:p w14:paraId="38661250" w14:textId="1FFCAF1E" w:rsidR="00A14AA2" w:rsidRDefault="00A14A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FA6C4" w14:textId="77777777" w:rsidR="00075FD3" w:rsidRDefault="00075FD3" w:rsidP="00A14AA2">
      <w:pPr>
        <w:spacing w:after="0"/>
      </w:pPr>
      <w:r>
        <w:separator/>
      </w:r>
    </w:p>
  </w:footnote>
  <w:footnote w:type="continuationSeparator" w:id="0">
    <w:p w14:paraId="4396ECA1" w14:textId="77777777" w:rsidR="00075FD3" w:rsidRDefault="00075FD3" w:rsidP="00A14AA2">
      <w:pPr>
        <w:spacing w:after="0"/>
      </w:pPr>
      <w:r>
        <w:continuationSeparator/>
      </w:r>
    </w:p>
  </w:footnote>
  <w:footnote w:id="1">
    <w:p w14:paraId="58C03A92" w14:textId="77777777" w:rsidR="007A7BC6" w:rsidRPr="00C4329E" w:rsidRDefault="007A7BC6" w:rsidP="007A7BC6">
      <w:pPr>
        <w:pStyle w:val="FootnoteText"/>
      </w:pPr>
      <w:r w:rsidRPr="00524980">
        <w:rPr>
          <w:rStyle w:val="FootnoteReference"/>
        </w:rPr>
        <w:footnoteRef/>
      </w:r>
      <w:r w:rsidRPr="00524980">
        <w:t xml:space="preserve"> </w:t>
      </w:r>
      <w:proofErr w:type="spellStart"/>
      <w:r w:rsidRPr="00524980">
        <w:t>Μελέτη</w:t>
      </w:r>
      <w:proofErr w:type="spellEnd"/>
      <w:r w:rsidRPr="00524980">
        <w:t xml:space="preserve"> π</w:t>
      </w:r>
      <w:proofErr w:type="spellStart"/>
      <w:r w:rsidRPr="00524980">
        <w:t>ου</w:t>
      </w:r>
      <w:proofErr w:type="spellEnd"/>
      <w:r w:rsidRPr="00524980">
        <w:t xml:space="preserve"> μας υπ</w:t>
      </w:r>
      <w:proofErr w:type="spellStart"/>
      <w:r w:rsidRPr="00524980">
        <w:t>οδείχθηκε</w:t>
      </w:r>
      <w:proofErr w:type="spellEnd"/>
      <w:r w:rsidRPr="00524980">
        <w:t xml:space="preserve"> από την Επιτροπή σας «Revisiting 5G monetisation: upping the experience», Sept. 2024, GSMA Intelligence Report, p.11</w:t>
      </w:r>
    </w:p>
  </w:footnote>
  <w:footnote w:id="2">
    <w:p w14:paraId="6193D438" w14:textId="77777777" w:rsidR="007A7BC6" w:rsidRPr="007A7BC6" w:rsidRDefault="007A7BC6" w:rsidP="007A7BC6">
      <w:pPr>
        <w:spacing w:after="0"/>
        <w:rPr>
          <w:lang w:val="el-GR"/>
        </w:rPr>
      </w:pPr>
      <w:r>
        <w:rPr>
          <w:rStyle w:val="FootnoteReference"/>
        </w:rPr>
        <w:footnoteRef/>
      </w:r>
      <w:r w:rsidRPr="007A7BC6">
        <w:rPr>
          <w:lang w:val="el-GR"/>
        </w:rPr>
        <w:t xml:space="preserve"> Η Επιτροπή στο κείμενο της διαβούλευσης του μοντέλου του 2019 αναφέρει ότι το κόστος αυτό αφορά:</w:t>
      </w:r>
    </w:p>
    <w:p w14:paraId="7F4158BC" w14:textId="77777777" w:rsidR="007A7BC6" w:rsidRPr="007A7BC6" w:rsidRDefault="007A7BC6" w:rsidP="00034FBB">
      <w:pPr>
        <w:pStyle w:val="ListParagraph"/>
        <w:widowControl w:val="0"/>
        <w:numPr>
          <w:ilvl w:val="0"/>
          <w:numId w:val="5"/>
        </w:numPr>
        <w:autoSpaceDE w:val="0"/>
        <w:autoSpaceDN w:val="0"/>
        <w:spacing w:after="240"/>
        <w:ind w:right="0"/>
        <w:jc w:val="both"/>
        <w:rPr>
          <w:lang w:val="el-GR"/>
        </w:rPr>
      </w:pPr>
      <w:r w:rsidRPr="007A7BC6">
        <w:rPr>
          <w:lang w:val="el-GR"/>
        </w:rPr>
        <w:t xml:space="preserve">Για τα </w:t>
      </w:r>
      <w:r w:rsidRPr="008A6B42">
        <w:t>business</w:t>
      </w:r>
      <w:r w:rsidRPr="007A7BC6">
        <w:rPr>
          <w:lang w:val="el-GR"/>
        </w:rPr>
        <w:t xml:space="preserve"> </w:t>
      </w:r>
      <w:r w:rsidRPr="008A6B42">
        <w:t>overheads</w:t>
      </w:r>
      <w:r w:rsidRPr="007A7BC6">
        <w:rPr>
          <w:lang w:val="el-GR"/>
        </w:rPr>
        <w:t>, κόστη που σχετίζονται με τις υποστηρικτές λειτουργίες (</w:t>
      </w:r>
      <w:r w:rsidRPr="008A6B42">
        <w:t>HR</w:t>
      </w:r>
      <w:r w:rsidRPr="007A7BC6">
        <w:rPr>
          <w:lang w:val="el-GR"/>
        </w:rPr>
        <w:t xml:space="preserve">, </w:t>
      </w:r>
      <w:r w:rsidRPr="008A6B42">
        <w:t>Finance</w:t>
      </w:r>
      <w:r w:rsidRPr="007A7BC6">
        <w:rPr>
          <w:lang w:val="el-GR"/>
        </w:rPr>
        <w:t xml:space="preserve"> </w:t>
      </w:r>
      <w:r w:rsidRPr="008A6B42">
        <w:t>and</w:t>
      </w:r>
      <w:r w:rsidRPr="007A7BC6">
        <w:rPr>
          <w:lang w:val="el-GR"/>
        </w:rPr>
        <w:t xml:space="preserve"> </w:t>
      </w:r>
      <w:r w:rsidRPr="008A6B42">
        <w:t>Accounting</w:t>
      </w:r>
      <w:r w:rsidRPr="007A7BC6">
        <w:rPr>
          <w:lang w:val="el-GR"/>
        </w:rPr>
        <w:t xml:space="preserve">, </w:t>
      </w:r>
      <w:r w:rsidRPr="008A6B42">
        <w:t>Legal</w:t>
      </w:r>
      <w:r w:rsidRPr="007A7BC6">
        <w:rPr>
          <w:lang w:val="el-GR"/>
        </w:rPr>
        <w:t xml:space="preserve"> κλπ) καθώς και το κόστος οργάνωσης των γραφείων της διοίκησης</w:t>
      </w:r>
    </w:p>
    <w:p w14:paraId="08F60FD3" w14:textId="77777777" w:rsidR="007A7BC6" w:rsidRPr="007A7BC6" w:rsidRDefault="007A7BC6" w:rsidP="00034FBB">
      <w:pPr>
        <w:pStyle w:val="ListParagraph"/>
        <w:widowControl w:val="0"/>
        <w:numPr>
          <w:ilvl w:val="0"/>
          <w:numId w:val="5"/>
        </w:numPr>
        <w:autoSpaceDE w:val="0"/>
        <w:autoSpaceDN w:val="0"/>
        <w:spacing w:after="240"/>
        <w:ind w:right="0"/>
        <w:jc w:val="both"/>
        <w:rPr>
          <w:lang w:val="el-GR"/>
        </w:rPr>
      </w:pPr>
      <w:r w:rsidRPr="007A7BC6">
        <w:rPr>
          <w:lang w:val="el-GR"/>
        </w:rPr>
        <w:t xml:space="preserve">Για τα </w:t>
      </w:r>
      <w:r w:rsidRPr="008A6B42">
        <w:t>indirect</w:t>
      </w:r>
      <w:r w:rsidRPr="007A7BC6">
        <w:rPr>
          <w:lang w:val="el-GR"/>
        </w:rPr>
        <w:t xml:space="preserve"> </w:t>
      </w:r>
      <w:r w:rsidRPr="008A6B42">
        <w:t>access</w:t>
      </w:r>
      <w:r w:rsidRPr="007A7BC6">
        <w:rPr>
          <w:lang w:val="el-GR"/>
        </w:rPr>
        <w:t xml:space="preserve"> </w:t>
      </w:r>
      <w:r w:rsidRPr="008A6B42">
        <w:t>costs</w:t>
      </w:r>
      <w:r w:rsidRPr="007A7BC6">
        <w:rPr>
          <w:lang w:val="el-GR"/>
        </w:rPr>
        <w:t xml:space="preserve">, το κόστος των οχημάτων, το κόστος των εργαλείων και εργαστηρίων, το κόστος οργάνωσης αποθήκης υλικών, το κόστος των γραφείων των κατά τόπους τεχνικών ομάδων, το κόστος των γραφείων μελετών και σχεδίασης, το κόστος για το κέντρο διαχείρισης και υποστήριξης των συστημάτων </w:t>
      </w:r>
      <w:r w:rsidRPr="008A6B42">
        <w:t>IT</w:t>
      </w:r>
      <w:r w:rsidRPr="007A7BC6">
        <w:rPr>
          <w:lang w:val="el-GR"/>
        </w:rPr>
        <w:t>, το κόστος γραμματειακής υποστήριξης.</w:t>
      </w:r>
    </w:p>
    <w:p w14:paraId="62C9B7F0" w14:textId="77777777" w:rsidR="007A7BC6" w:rsidRPr="007A7BC6" w:rsidRDefault="007A7BC6" w:rsidP="007A7BC6">
      <w:pPr>
        <w:pStyle w:val="FootnoteText"/>
        <w:rPr>
          <w:sz w:val="18"/>
          <w:szCs w:val="18"/>
          <w:lang w:val="el-GR"/>
        </w:rPr>
      </w:pPr>
    </w:p>
  </w:footnote>
  <w:footnote w:id="3">
    <w:p w14:paraId="6FA26B6B" w14:textId="77777777" w:rsidR="007A7BC6" w:rsidRPr="007A7BC6" w:rsidRDefault="007A7BC6" w:rsidP="007A7BC6">
      <w:pPr>
        <w:pStyle w:val="FootnoteText"/>
        <w:rPr>
          <w:lang w:val="el-GR"/>
        </w:rPr>
      </w:pPr>
      <w:r>
        <w:rPr>
          <w:rStyle w:val="FootnoteReference"/>
        </w:rPr>
        <w:footnoteRef/>
      </w:r>
      <w:r w:rsidRPr="007A7BC6">
        <w:rPr>
          <w:lang w:val="el-GR"/>
        </w:rPr>
        <w:t xml:space="preserve"> Υπάρχουν περιπτώσεις που οι ρυθμιστικές αρχές διαφοροποιήθηκαν αιτιολογημένα από την μεθοδολογία του </w:t>
      </w:r>
      <w:r>
        <w:t>BEREC</w:t>
      </w:r>
      <w:r w:rsidRPr="007A7BC6">
        <w:rPr>
          <w:lang w:val="el-GR"/>
        </w:rPr>
        <w:t xml:space="preserve"> και η ΕΕ ενέκρινε τις προτάσεις τους. Τέτοιες περιπτώσεις είναι η υπόθεση </w:t>
      </w:r>
      <w:r>
        <w:t>DE</w:t>
      </w:r>
      <w:r w:rsidRPr="007A7BC6">
        <w:rPr>
          <w:lang w:val="el-GR"/>
        </w:rPr>
        <w:t xml:space="preserve">/2023/2457 όπου η γερμανική ΕΡΑ χρησιμοποίησε ως κριτήριο απόφασης το ύψος του πληθωρισμού, οι υποθέσεις </w:t>
      </w:r>
      <w:r>
        <w:t>ES</w:t>
      </w:r>
      <w:r w:rsidRPr="007A7BC6">
        <w:rPr>
          <w:lang w:val="el-GR"/>
        </w:rPr>
        <w:t xml:space="preserve">/2022/2419 &amp; </w:t>
      </w:r>
      <w:r>
        <w:t>FR</w:t>
      </w:r>
      <w:r w:rsidRPr="007A7BC6">
        <w:rPr>
          <w:lang w:val="el-GR"/>
        </w:rPr>
        <w:t xml:space="preserve">/2023/2455) όπου οι ΕΡΑ προέβησαν σε αιτιολογημένες αποκλίσεις από την μεθοδολογία του </w:t>
      </w:r>
      <w:r>
        <w:t>BEREC</w:t>
      </w:r>
      <w:r w:rsidRPr="007A7BC6">
        <w:rPr>
          <w:lang w:val="el-GR"/>
        </w:rPr>
        <w:t xml:space="preserve"> με σκοπό αποτυπώσουν τις πλέον «πρόσφατες οικονομικές συνθήκες» όπως αναφέρει και η ίδια η ανακοίνωση της ΕΕ.</w:t>
      </w:r>
    </w:p>
  </w:footnote>
  <w:footnote w:id="4">
    <w:p w14:paraId="44FFE407" w14:textId="77777777" w:rsidR="007A7BC6" w:rsidRPr="00C4329E" w:rsidRDefault="007A7BC6" w:rsidP="007A7BC6">
      <w:pPr>
        <w:pStyle w:val="FootnoteText"/>
      </w:pPr>
      <w:r w:rsidRPr="00524980">
        <w:rPr>
          <w:rStyle w:val="FootnoteReference"/>
        </w:rPr>
        <w:footnoteRef/>
      </w:r>
      <w:r w:rsidRPr="00524980">
        <w:t xml:space="preserve"> “Note on Greek Economy” 19/9/2025, https://www.bankofgreece.gr/en/publications-and-research/publications/publications-list</w:t>
      </w:r>
    </w:p>
  </w:footnote>
  <w:footnote w:id="5">
    <w:p w14:paraId="27DBB9A2" w14:textId="77777777" w:rsidR="007A7BC6" w:rsidRPr="007A7BC6" w:rsidRDefault="007A7BC6" w:rsidP="007A7BC6">
      <w:pPr>
        <w:pStyle w:val="FootnoteText"/>
        <w:rPr>
          <w:lang w:val="el-GR"/>
        </w:rPr>
      </w:pPr>
      <w:r>
        <w:rPr>
          <w:rStyle w:val="FootnoteReference"/>
        </w:rPr>
        <w:footnoteRef/>
      </w:r>
      <w:r w:rsidRPr="007A7BC6">
        <w:rPr>
          <w:lang w:val="el-GR"/>
        </w:rPr>
        <w:t xml:space="preserve"> Στο Βέλγιο το </w:t>
      </w:r>
      <w:r>
        <w:t>risk</w:t>
      </w:r>
      <w:r w:rsidRPr="007A7BC6">
        <w:rPr>
          <w:lang w:val="el-GR"/>
        </w:rPr>
        <w:t xml:space="preserve"> </w:t>
      </w:r>
      <w:r>
        <w:t>premium</w:t>
      </w:r>
      <w:r w:rsidRPr="007A7BC6">
        <w:rPr>
          <w:lang w:val="el-GR"/>
        </w:rPr>
        <w:t xml:space="preserve"> είναι 1,59%, αλλά η νέα πρόταση της ΕΡΑ που είναι υπό διαβούλευση είναι 2%</w:t>
      </w:r>
    </w:p>
  </w:footnote>
  <w:footnote w:id="6">
    <w:p w14:paraId="336D5491" w14:textId="77777777" w:rsidR="007A7BC6" w:rsidRPr="007A7BC6" w:rsidRDefault="007A7BC6" w:rsidP="007A7BC6">
      <w:pPr>
        <w:pStyle w:val="FootnoteText"/>
        <w:rPr>
          <w:lang w:val="el-GR"/>
        </w:rPr>
      </w:pPr>
      <w:r>
        <w:rPr>
          <w:rStyle w:val="FootnoteReference"/>
        </w:rPr>
        <w:footnoteRef/>
      </w:r>
      <w:r w:rsidRPr="007A7BC6">
        <w:rPr>
          <w:lang w:val="el-GR"/>
        </w:rPr>
        <w:t xml:space="preserve"> Η Φιλανδία έχει υπολογίσει το </w:t>
      </w:r>
      <w:r w:rsidRPr="00EF5253">
        <w:t>risk</w:t>
      </w:r>
      <w:r w:rsidRPr="007A7BC6">
        <w:rPr>
          <w:lang w:val="el-GR"/>
        </w:rPr>
        <w:t xml:space="preserve"> </w:t>
      </w:r>
      <w:r w:rsidRPr="00EF5253">
        <w:t>premium</w:t>
      </w:r>
      <w:r w:rsidRPr="007A7BC6">
        <w:rPr>
          <w:lang w:val="el-GR"/>
        </w:rPr>
        <w:t xml:space="preserve"> στο 1,1% το 2018 πριν από την έκδοση της Σύστασης </w:t>
      </w:r>
    </w:p>
  </w:footnote>
  <w:footnote w:id="7">
    <w:p w14:paraId="04521AEB" w14:textId="77777777" w:rsidR="007A7BC6" w:rsidRPr="00524980" w:rsidRDefault="007A7BC6" w:rsidP="007A7BC6">
      <w:pPr>
        <w:pStyle w:val="FootnoteText"/>
      </w:pPr>
      <w:r>
        <w:rPr>
          <w:rStyle w:val="FootnoteReference"/>
        </w:rPr>
        <w:footnoteRef/>
      </w:r>
      <w:r w:rsidRPr="007A7BC6">
        <w:rPr>
          <w:lang w:val="el-GR"/>
        </w:rPr>
        <w:t xml:space="preserve"> «</w:t>
      </w:r>
      <w:r w:rsidRPr="007A7BC6">
        <w:rPr>
          <w:i/>
          <w:iCs/>
          <w:lang w:val="el-GR"/>
        </w:rPr>
        <w:t xml:space="preserve">μεθοδολογία </w:t>
      </w:r>
      <w:r w:rsidRPr="00EB4838">
        <w:rPr>
          <w:i/>
          <w:iCs/>
        </w:rPr>
        <w:t>BU</w:t>
      </w:r>
      <w:r w:rsidRPr="007A7BC6">
        <w:rPr>
          <w:i/>
          <w:iCs/>
          <w:lang w:val="el-GR"/>
        </w:rPr>
        <w:t xml:space="preserve"> </w:t>
      </w:r>
      <w:r w:rsidRPr="00EB4838">
        <w:rPr>
          <w:i/>
          <w:iCs/>
        </w:rPr>
        <w:t>LRIC</w:t>
      </w:r>
      <w:r w:rsidRPr="007A7BC6">
        <w:rPr>
          <w:i/>
          <w:iCs/>
          <w:lang w:val="el-GR"/>
        </w:rPr>
        <w:t xml:space="preserve">+ υπολογίζει το τρέχον κόστος σε μελλοντοστρεφή βάση (δηλαδή, με βάση τις σύγχρονες τεχνολογίες, την αναμενόμενη ζήτηση κ.λπ.) με το οποίο θα επιβαρυνόταν ένας αποδοτικός φορέας εκμετάλλευσης δικτύου εάν κατασκεύαζε σήμερα ένα σύγχρονο </w:t>
      </w:r>
      <w:r w:rsidRPr="00EB4838">
        <w:rPr>
          <w:i/>
          <w:iCs/>
        </w:rPr>
        <w:t>VHCN</w:t>
      </w:r>
      <w:r w:rsidRPr="007A7BC6">
        <w:rPr>
          <w:i/>
          <w:iCs/>
          <w:lang w:val="el-GR"/>
        </w:rPr>
        <w:t xml:space="preserve"> ικανό να παρέχει όλες αυτές τις υπηρεσίες</w:t>
      </w:r>
      <w:r w:rsidRPr="007A7BC6">
        <w:rPr>
          <w:lang w:val="el-GR"/>
        </w:rPr>
        <w:t>» και «</w:t>
      </w:r>
      <w:r w:rsidRPr="007A7BC6">
        <w:rPr>
          <w:i/>
          <w:iCs/>
          <w:lang w:val="el-GR"/>
        </w:rPr>
        <w:t xml:space="preserve">δεδομένου ότι οι φορείς εκμετάλλευσης δεν θα κατασκεύαζαν σήμερα δίκτυο χαλκού, η μεθοδολογία </w:t>
      </w:r>
      <w:r w:rsidRPr="00EB4838">
        <w:rPr>
          <w:i/>
          <w:iCs/>
        </w:rPr>
        <w:t>BU</w:t>
      </w:r>
      <w:r w:rsidRPr="007A7BC6">
        <w:rPr>
          <w:i/>
          <w:iCs/>
          <w:lang w:val="el-GR"/>
        </w:rPr>
        <w:t xml:space="preserve"> </w:t>
      </w:r>
      <w:r w:rsidRPr="00EB4838">
        <w:rPr>
          <w:i/>
          <w:iCs/>
        </w:rPr>
        <w:t>LRIC</w:t>
      </w:r>
      <w:r w:rsidRPr="007A7BC6">
        <w:rPr>
          <w:i/>
          <w:iCs/>
          <w:lang w:val="el-GR"/>
        </w:rPr>
        <w:t xml:space="preserve">+ υπολογίζει το τρέχον κόστος της εγκατάστασης ενός σύγχρονου και αποδοτικού </w:t>
      </w:r>
      <w:r w:rsidRPr="00EB4838">
        <w:rPr>
          <w:i/>
          <w:iCs/>
        </w:rPr>
        <w:t>VHCN</w:t>
      </w:r>
      <w:r w:rsidRPr="007A7BC6">
        <w:rPr>
          <w:lang w:val="el-GR"/>
        </w:rPr>
        <w:t>.» (Σύσταση 45). Οι οι ΕΡΑ θα πρέπει να μοντελοποιήσουν ένα «</w:t>
      </w:r>
      <w:r w:rsidRPr="007A7BC6">
        <w:rPr>
          <w:i/>
          <w:iCs/>
          <w:lang w:val="el-GR"/>
        </w:rPr>
        <w:t xml:space="preserve">υποθετικό αποδοτικό </w:t>
      </w:r>
      <w:r w:rsidRPr="00524980">
        <w:rPr>
          <w:i/>
          <w:iCs/>
        </w:rPr>
        <w:t>VHCN</w:t>
      </w:r>
      <w:r w:rsidRPr="007A7BC6">
        <w:rPr>
          <w:i/>
          <w:iCs/>
          <w:lang w:val="el-GR"/>
        </w:rPr>
        <w:t>, ικανό να επιτύχει τους στόχους που ορίζονται στην απόφαση (ΕΕ) 2022/2481, όσον αφορά το εύρος ζώνης και την κάλυψη και να λαμβάνουν υπόψη την υιοθέτηση</w:t>
      </w:r>
      <w:r w:rsidRPr="007A7BC6">
        <w:rPr>
          <w:lang w:val="el-GR"/>
        </w:rPr>
        <w:t xml:space="preserve"> .» (Σ. 50), ενώ «</w:t>
      </w:r>
      <w:r w:rsidRPr="007A7BC6">
        <w:rPr>
          <w:i/>
          <w:iCs/>
          <w:lang w:val="el-GR"/>
        </w:rPr>
        <w:t xml:space="preserve">θα πρέπει να προσαρμόζουν το υπολογισθέν κόστος για το </w:t>
      </w:r>
      <w:r w:rsidRPr="00524980">
        <w:rPr>
          <w:i/>
          <w:iCs/>
        </w:rPr>
        <w:t>VHCN</w:t>
      </w:r>
      <w:r w:rsidRPr="007A7BC6">
        <w:rPr>
          <w:i/>
          <w:iCs/>
          <w:lang w:val="el-GR"/>
        </w:rPr>
        <w:t xml:space="preserve"> για το οποίο καταρτίζεται το μοντέλο, ώστε να αντικατοπτρίζει τα διάφορα χαρακτηριστικά των υπηρεσιών πρόσβασης χονδρικής που δεν βασίζονται σε </w:t>
      </w:r>
      <w:r w:rsidRPr="00524980">
        <w:rPr>
          <w:i/>
          <w:iCs/>
        </w:rPr>
        <w:t>VHCN</w:t>
      </w:r>
      <w:r w:rsidRPr="007A7BC6">
        <w:rPr>
          <w:i/>
          <w:iCs/>
          <w:lang w:val="el-GR"/>
        </w:rPr>
        <w:t>. Για τον σκοπό αυτόν, οι ΕΡΑ θα πρέπει να προβαίνουν σε εκτίμηση της διαφοράς κόστους μεταξύ ενός προϊόντος πρόσβασης που βασίζεται, για παράδειγμα, σε δίκτυο οπτικής ίνας μέχρι την κατοικία (</w:t>
      </w:r>
      <w:r w:rsidRPr="00524980">
        <w:rPr>
          <w:i/>
          <w:iCs/>
        </w:rPr>
        <w:t>FTTH</w:t>
      </w:r>
      <w:r w:rsidRPr="007A7BC6">
        <w:rPr>
          <w:i/>
          <w:iCs/>
          <w:lang w:val="el-GR"/>
        </w:rPr>
        <w:t xml:space="preserve">) και ενός προϊόντος πρόσβασης που βασίζεται σε δίκτυο χαλκού, αντικαθιστώντας, στο τεχνολογικό μοντέλο </w:t>
      </w:r>
      <w:r w:rsidRPr="00524980">
        <w:rPr>
          <w:i/>
          <w:iCs/>
        </w:rPr>
        <w:t>VHCN</w:t>
      </w:r>
      <w:r w:rsidRPr="007A7BC6">
        <w:rPr>
          <w:i/>
          <w:iCs/>
          <w:lang w:val="el-GR"/>
        </w:rPr>
        <w:t>, τα στοιχεία οπτικών ινών με αποδοτικά τιμολογημένα στοιχεία χαλκού, κατά περίπτωση</w:t>
      </w:r>
      <w:r w:rsidRPr="007A7BC6">
        <w:rPr>
          <w:lang w:val="el-GR"/>
        </w:rPr>
        <w:t xml:space="preserve">.» </w:t>
      </w:r>
      <w:r w:rsidRPr="00113477">
        <w:t>(</w:t>
      </w:r>
      <w:r w:rsidRPr="00EF5253">
        <w:t>Σ</w:t>
      </w:r>
      <w:r w:rsidRPr="00113477">
        <w:t>. 56)</w:t>
      </w:r>
    </w:p>
  </w:footnote>
  <w:footnote w:id="8">
    <w:p w14:paraId="7DAC7D03" w14:textId="77777777" w:rsidR="007A7BC6" w:rsidRPr="00201C0B" w:rsidRDefault="007A7BC6" w:rsidP="007A7BC6">
      <w:pPr>
        <w:pStyle w:val="FootnoteText"/>
      </w:pPr>
      <w:r>
        <w:rPr>
          <w:rStyle w:val="FootnoteReference"/>
        </w:rPr>
        <w:footnoteRef/>
      </w:r>
      <w:r w:rsidRPr="000903E9">
        <w:t xml:space="preserve"> </w:t>
      </w:r>
      <w:r w:rsidRPr="00BA6668">
        <w:t>Adler, P.S. and Clark, K.B. (1991</w:t>
      </w:r>
      <w:r w:rsidRPr="000903E9">
        <w:t xml:space="preserve">). Behind the Learning Curve: A Sketch of the Learning Process. </w:t>
      </w:r>
      <w:r w:rsidRPr="00201C0B">
        <w:rPr>
          <w:i/>
          <w:iCs/>
        </w:rPr>
        <w:t>Management Science</w:t>
      </w:r>
      <w:r w:rsidRPr="00201C0B">
        <w:t>, 37(3), pp.267–281.</w:t>
      </w:r>
    </w:p>
  </w:footnote>
  <w:footnote w:id="9">
    <w:p w14:paraId="5D44DCAA" w14:textId="77777777" w:rsidR="007A7BC6" w:rsidRPr="007A7BC6" w:rsidRDefault="007A7BC6" w:rsidP="007A7BC6">
      <w:pPr>
        <w:pStyle w:val="FootnoteText"/>
        <w:rPr>
          <w:lang w:val="el-GR"/>
        </w:rPr>
      </w:pPr>
      <w:r>
        <w:rPr>
          <w:rStyle w:val="FootnoteReference"/>
        </w:rPr>
        <w:footnoteRef/>
      </w:r>
      <w:r w:rsidRPr="00BA6668">
        <w:t xml:space="preserve"> Nembhard, D.A. and Uzumeri, M.V. (2000). Experiential learning and forgetting for manual and cognitive tasks. International</w:t>
      </w:r>
      <w:r w:rsidRPr="007A7BC6">
        <w:rPr>
          <w:lang w:val="el-GR"/>
        </w:rPr>
        <w:t xml:space="preserve"> </w:t>
      </w:r>
      <w:r w:rsidRPr="00BA6668">
        <w:t>Journal</w:t>
      </w:r>
      <w:r w:rsidRPr="007A7BC6">
        <w:rPr>
          <w:lang w:val="el-GR"/>
        </w:rPr>
        <w:t xml:space="preserve"> </w:t>
      </w:r>
      <w:r w:rsidRPr="00BA6668">
        <w:t>of</w:t>
      </w:r>
      <w:r w:rsidRPr="007A7BC6">
        <w:rPr>
          <w:lang w:val="el-GR"/>
        </w:rPr>
        <w:t xml:space="preserve"> </w:t>
      </w:r>
      <w:r w:rsidRPr="00BA6668">
        <w:t>Industrial</w:t>
      </w:r>
      <w:r w:rsidRPr="007A7BC6">
        <w:rPr>
          <w:lang w:val="el-GR"/>
        </w:rPr>
        <w:t xml:space="preserve"> </w:t>
      </w:r>
      <w:r w:rsidRPr="00BA6668">
        <w:t>Ergonomics</w:t>
      </w:r>
      <w:r w:rsidRPr="007A7BC6">
        <w:rPr>
          <w:lang w:val="el-GR"/>
        </w:rPr>
        <w:t xml:space="preserve">, 25(4), </w:t>
      </w:r>
      <w:r w:rsidRPr="00BA6668">
        <w:t>pp</w:t>
      </w:r>
      <w:r w:rsidRPr="007A7BC6">
        <w:rPr>
          <w:lang w:val="el-GR"/>
        </w:rPr>
        <w:t>.315–326.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6124F" w14:textId="77777777" w:rsidR="001C5B7C" w:rsidRDefault="001C5B7C">
    <w:pPr>
      <w:pStyle w:val="Header"/>
    </w:pPr>
    <w:r>
      <w:rPr>
        <w:noProof/>
      </w:rPr>
      <w:drawing>
        <wp:anchor distT="0" distB="0" distL="114300" distR="114300" simplePos="0" relativeHeight="251659264" behindDoc="0" locked="0" layoutInCell="1" allowOverlap="1" wp14:anchorId="38661251" wp14:editId="368DC29C">
          <wp:simplePos x="0" y="0"/>
          <wp:positionH relativeFrom="page">
            <wp:posOffset>-1128</wp:posOffset>
          </wp:positionH>
          <wp:positionV relativeFrom="page">
            <wp:posOffset>-95250</wp:posOffset>
          </wp:positionV>
          <wp:extent cx="7554453" cy="2076450"/>
          <wp:effectExtent l="0" t="0" r="8890" b="0"/>
          <wp:wrapSquare wrapText="bothSides"/>
          <wp:docPr id="194100334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4453" cy="2076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D1C10"/>
    <w:multiLevelType w:val="hybridMultilevel"/>
    <w:tmpl w:val="76306ED8"/>
    <w:lvl w:ilvl="0" w:tplc="A4CE17CE">
      <w:start w:val="3"/>
      <w:numFmt w:val="bullet"/>
      <w:lvlText w:val="-"/>
      <w:lvlJc w:val="left"/>
      <w:pPr>
        <w:ind w:left="1080" w:hanging="360"/>
      </w:pPr>
      <w:rPr>
        <w:rFonts w:ascii="Calibri" w:eastAsia="Calibr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15:restartNumberingAfterBreak="0">
    <w:nsid w:val="062E55AE"/>
    <w:multiLevelType w:val="hybridMultilevel"/>
    <w:tmpl w:val="554E0F1E"/>
    <w:lvl w:ilvl="0" w:tplc="A4CE17CE">
      <w:start w:val="3"/>
      <w:numFmt w:val="bullet"/>
      <w:lvlText w:val="-"/>
      <w:lvlJc w:val="left"/>
      <w:pPr>
        <w:ind w:left="360" w:hanging="360"/>
      </w:pPr>
      <w:rPr>
        <w:rFonts w:ascii="Calibri" w:eastAsia="Calibri" w:hAnsi="Calibri" w:cs="Calibri" w:hint="default"/>
        <w:b w:val="0"/>
        <w:bCs w:val="0"/>
        <w:i w:val="0"/>
        <w:iCs w:val="0"/>
        <w:strike w:val="0"/>
        <w:color w:val="auto"/>
        <w:w w:val="100"/>
        <w:sz w:val="24"/>
        <w:szCs w:val="24"/>
        <w:lang w:val="el-GR" w:eastAsia="en-US" w:bidi="ar-SA"/>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07125F13"/>
    <w:multiLevelType w:val="hybridMultilevel"/>
    <w:tmpl w:val="97CCD282"/>
    <w:lvl w:ilvl="0" w:tplc="A4CE17CE">
      <w:start w:val="3"/>
      <w:numFmt w:val="bullet"/>
      <w:lvlText w:val="-"/>
      <w:lvlJc w:val="left"/>
      <w:pPr>
        <w:ind w:left="720" w:hanging="360"/>
      </w:pPr>
      <w:rPr>
        <w:rFonts w:ascii="Calibri" w:eastAsia="Calibri"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7F14E75"/>
    <w:multiLevelType w:val="hybridMultilevel"/>
    <w:tmpl w:val="23CEE1E2"/>
    <w:lvl w:ilvl="0" w:tplc="0408000B">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35A2432"/>
    <w:multiLevelType w:val="hybridMultilevel"/>
    <w:tmpl w:val="8152A948"/>
    <w:lvl w:ilvl="0" w:tplc="A4CE17CE">
      <w:start w:val="3"/>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3C50DF1"/>
    <w:multiLevelType w:val="hybridMultilevel"/>
    <w:tmpl w:val="52E22086"/>
    <w:lvl w:ilvl="0" w:tplc="02466F4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5A4360"/>
    <w:multiLevelType w:val="multilevel"/>
    <w:tmpl w:val="10FCD6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CB187D"/>
    <w:multiLevelType w:val="hybridMultilevel"/>
    <w:tmpl w:val="5FC69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BB6B01"/>
    <w:multiLevelType w:val="hybridMultilevel"/>
    <w:tmpl w:val="684217C2"/>
    <w:lvl w:ilvl="0" w:tplc="A4CE17CE">
      <w:start w:val="3"/>
      <w:numFmt w:val="bullet"/>
      <w:lvlText w:val="-"/>
      <w:lvlJc w:val="left"/>
      <w:pPr>
        <w:ind w:left="425" w:hanging="425"/>
        <w:jc w:val="right"/>
      </w:pPr>
      <w:rPr>
        <w:rFonts w:ascii="Calibri" w:eastAsia="Calibri" w:hAnsi="Calibri" w:cs="Calibri" w:hint="default"/>
        <w:b w:val="0"/>
        <w:bCs w:val="0"/>
        <w:i w:val="0"/>
        <w:iCs w:val="0"/>
        <w:strike w:val="0"/>
        <w:color w:val="auto"/>
        <w:w w:val="100"/>
        <w:sz w:val="24"/>
        <w:szCs w:val="24"/>
        <w:lang w:val="el-GR" w:eastAsia="en-US" w:bidi="ar-SA"/>
      </w:rPr>
    </w:lvl>
    <w:lvl w:ilvl="1" w:tplc="04080003">
      <w:start w:val="1"/>
      <w:numFmt w:val="bullet"/>
      <w:lvlText w:val="o"/>
      <w:lvlJc w:val="left"/>
      <w:pPr>
        <w:ind w:left="785" w:hanging="360"/>
      </w:pPr>
      <w:rPr>
        <w:rFonts w:ascii="Courier New" w:hAnsi="Courier New" w:cs="Courier New" w:hint="default"/>
      </w:rPr>
    </w:lvl>
    <w:lvl w:ilvl="2" w:tplc="FFFFFFFF">
      <w:numFmt w:val="bullet"/>
      <w:lvlText w:val="•"/>
      <w:lvlJc w:val="left"/>
      <w:pPr>
        <w:ind w:left="786" w:hanging="360"/>
      </w:pPr>
      <w:rPr>
        <w:rFonts w:hint="default"/>
        <w:lang w:val="el-GR" w:eastAsia="en-US" w:bidi="ar-SA"/>
      </w:rPr>
    </w:lvl>
    <w:lvl w:ilvl="3" w:tplc="FFFFFFFF">
      <w:numFmt w:val="bullet"/>
      <w:lvlText w:val="•"/>
      <w:lvlJc w:val="left"/>
      <w:pPr>
        <w:ind w:left="846" w:hanging="360"/>
      </w:pPr>
      <w:rPr>
        <w:rFonts w:hint="default"/>
        <w:lang w:val="el-GR" w:eastAsia="en-US" w:bidi="ar-SA"/>
      </w:rPr>
    </w:lvl>
    <w:lvl w:ilvl="4" w:tplc="FFFFFFFF">
      <w:numFmt w:val="bullet"/>
      <w:lvlText w:val="•"/>
      <w:lvlJc w:val="left"/>
      <w:pPr>
        <w:ind w:left="1006" w:hanging="360"/>
      </w:pPr>
      <w:rPr>
        <w:rFonts w:hint="default"/>
        <w:lang w:val="el-GR" w:eastAsia="en-US" w:bidi="ar-SA"/>
      </w:rPr>
    </w:lvl>
    <w:lvl w:ilvl="5" w:tplc="FFFFFFFF">
      <w:numFmt w:val="bullet"/>
      <w:lvlText w:val="•"/>
      <w:lvlJc w:val="left"/>
      <w:pPr>
        <w:ind w:left="1146" w:hanging="360"/>
      </w:pPr>
      <w:rPr>
        <w:rFonts w:hint="default"/>
        <w:lang w:val="el-GR" w:eastAsia="en-US" w:bidi="ar-SA"/>
      </w:rPr>
    </w:lvl>
    <w:lvl w:ilvl="6" w:tplc="FFFFFFFF">
      <w:numFmt w:val="bullet"/>
      <w:lvlText w:val="•"/>
      <w:lvlJc w:val="left"/>
      <w:pPr>
        <w:ind w:left="1726" w:hanging="360"/>
      </w:pPr>
      <w:rPr>
        <w:rFonts w:hint="default"/>
        <w:lang w:val="el-GR" w:eastAsia="en-US" w:bidi="ar-SA"/>
      </w:rPr>
    </w:lvl>
    <w:lvl w:ilvl="7" w:tplc="FFFFFFFF">
      <w:numFmt w:val="bullet"/>
      <w:lvlText w:val="•"/>
      <w:lvlJc w:val="left"/>
      <w:pPr>
        <w:ind w:left="3692" w:hanging="360"/>
      </w:pPr>
      <w:rPr>
        <w:rFonts w:hint="default"/>
        <w:lang w:val="el-GR" w:eastAsia="en-US" w:bidi="ar-SA"/>
      </w:rPr>
    </w:lvl>
    <w:lvl w:ilvl="8" w:tplc="FFFFFFFF">
      <w:numFmt w:val="bullet"/>
      <w:lvlText w:val="•"/>
      <w:lvlJc w:val="left"/>
      <w:pPr>
        <w:ind w:left="5659" w:hanging="360"/>
      </w:pPr>
      <w:rPr>
        <w:rFonts w:hint="default"/>
        <w:lang w:val="el-GR" w:eastAsia="en-US" w:bidi="ar-SA"/>
      </w:rPr>
    </w:lvl>
  </w:abstractNum>
  <w:abstractNum w:abstractNumId="9" w15:restartNumberingAfterBreak="0">
    <w:nsid w:val="37835E5A"/>
    <w:multiLevelType w:val="hybridMultilevel"/>
    <w:tmpl w:val="60B6B58E"/>
    <w:lvl w:ilvl="0" w:tplc="412803F0">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579633D"/>
    <w:multiLevelType w:val="hybridMultilevel"/>
    <w:tmpl w:val="B4D2745A"/>
    <w:lvl w:ilvl="0" w:tplc="04080019">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A236270"/>
    <w:multiLevelType w:val="hybridMultilevel"/>
    <w:tmpl w:val="445ABB40"/>
    <w:lvl w:ilvl="0" w:tplc="5FD2804C">
      <w:start w:val="2"/>
      <w:numFmt w:val="bullet"/>
      <w:lvlText w:val="-"/>
      <w:lvlJc w:val="left"/>
      <w:pPr>
        <w:ind w:left="360" w:hanging="360"/>
      </w:pPr>
      <w:rPr>
        <w:rFonts w:ascii="Calibri" w:eastAsia="Calibri" w:hAnsi="Calibri" w:cs="Calibri"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15:restartNumberingAfterBreak="0">
    <w:nsid w:val="50E648F1"/>
    <w:multiLevelType w:val="hybridMultilevel"/>
    <w:tmpl w:val="27CC4A6C"/>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3" w15:restartNumberingAfterBreak="0">
    <w:nsid w:val="590E4370"/>
    <w:multiLevelType w:val="hybridMultilevel"/>
    <w:tmpl w:val="0D8E6A52"/>
    <w:lvl w:ilvl="0" w:tplc="5FD2804C">
      <w:start w:val="2"/>
      <w:numFmt w:val="bullet"/>
      <w:lvlText w:val="-"/>
      <w:lvlJc w:val="left"/>
      <w:pPr>
        <w:ind w:left="36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62DB466D"/>
    <w:multiLevelType w:val="hybridMultilevel"/>
    <w:tmpl w:val="F6C0B89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65721B03"/>
    <w:multiLevelType w:val="hybridMultilevel"/>
    <w:tmpl w:val="9B7441AA"/>
    <w:lvl w:ilvl="0" w:tplc="08EEE266">
      <w:start w:val="3"/>
      <w:numFmt w:val="bullet"/>
      <w:lvlText w:val="-"/>
      <w:lvlJc w:val="left"/>
      <w:pPr>
        <w:ind w:left="360" w:hanging="360"/>
      </w:pPr>
      <w:rPr>
        <w:rFonts w:ascii="Calibri" w:eastAsia="Calibr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71DA02E3"/>
    <w:multiLevelType w:val="hybridMultilevel"/>
    <w:tmpl w:val="EB5CA866"/>
    <w:lvl w:ilvl="0" w:tplc="5FD2804C">
      <w:start w:val="2"/>
      <w:numFmt w:val="bullet"/>
      <w:lvlText w:val="-"/>
      <w:lvlJc w:val="left"/>
      <w:pPr>
        <w:ind w:left="360" w:hanging="360"/>
      </w:pPr>
      <w:rPr>
        <w:rFonts w:ascii="Calibri" w:eastAsia="Calibri" w:hAnsi="Calibri" w:cs="Calibri" w:hint="default"/>
      </w:rPr>
    </w:lvl>
    <w:lvl w:ilvl="1" w:tplc="BA4C9B04">
      <w:numFmt w:val="bullet"/>
      <w:lvlText w:val="•"/>
      <w:lvlJc w:val="left"/>
      <w:pPr>
        <w:ind w:left="1800" w:hanging="720"/>
      </w:pPr>
      <w:rPr>
        <w:rFonts w:ascii="Calibri" w:eastAsia="Calibri"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78691B58"/>
    <w:multiLevelType w:val="hybridMultilevel"/>
    <w:tmpl w:val="698459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FFD52DE"/>
    <w:multiLevelType w:val="hybridMultilevel"/>
    <w:tmpl w:val="098CC516"/>
    <w:lvl w:ilvl="0" w:tplc="04080015">
      <w:start w:val="1"/>
      <w:numFmt w:val="upperLetter"/>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1271933150">
    <w:abstractNumId w:val="8"/>
  </w:num>
  <w:num w:numId="2" w16cid:durableId="1506164259">
    <w:abstractNumId w:val="17"/>
  </w:num>
  <w:num w:numId="3" w16cid:durableId="1788312829">
    <w:abstractNumId w:val="2"/>
  </w:num>
  <w:num w:numId="4" w16cid:durableId="444345464">
    <w:abstractNumId w:val="11"/>
  </w:num>
  <w:num w:numId="5" w16cid:durableId="1256668993">
    <w:abstractNumId w:val="13"/>
  </w:num>
  <w:num w:numId="6" w16cid:durableId="473987392">
    <w:abstractNumId w:val="16"/>
  </w:num>
  <w:num w:numId="7" w16cid:durableId="1028877034">
    <w:abstractNumId w:val="15"/>
  </w:num>
  <w:num w:numId="8" w16cid:durableId="1113132142">
    <w:abstractNumId w:val="0"/>
  </w:num>
  <w:num w:numId="9" w16cid:durableId="1358772587">
    <w:abstractNumId w:val="3"/>
  </w:num>
  <w:num w:numId="10" w16cid:durableId="1182933050">
    <w:abstractNumId w:val="4"/>
  </w:num>
  <w:num w:numId="11" w16cid:durableId="188955745">
    <w:abstractNumId w:val="1"/>
  </w:num>
  <w:num w:numId="12" w16cid:durableId="1682580531">
    <w:abstractNumId w:val="14"/>
  </w:num>
  <w:num w:numId="13" w16cid:durableId="1097406162">
    <w:abstractNumId w:val="7"/>
  </w:num>
  <w:num w:numId="14" w16cid:durableId="488640443">
    <w:abstractNumId w:val="6"/>
  </w:num>
  <w:num w:numId="15" w16cid:durableId="1348559795">
    <w:abstractNumId w:val="9"/>
  </w:num>
  <w:num w:numId="16" w16cid:durableId="1437866580">
    <w:abstractNumId w:val="12"/>
  </w:num>
  <w:num w:numId="17" w16cid:durableId="1198544264">
    <w:abstractNumId w:val="5"/>
  </w:num>
  <w:num w:numId="18" w16cid:durableId="2036535836">
    <w:abstractNumId w:val="18"/>
  </w:num>
  <w:num w:numId="19" w16cid:durableId="1470592073">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D4A"/>
    <w:rsid w:val="0001385A"/>
    <w:rsid w:val="00020A39"/>
    <w:rsid w:val="000249F1"/>
    <w:rsid w:val="0003278E"/>
    <w:rsid w:val="00034FBB"/>
    <w:rsid w:val="00037B41"/>
    <w:rsid w:val="00066E88"/>
    <w:rsid w:val="00073E36"/>
    <w:rsid w:val="00075DA4"/>
    <w:rsid w:val="00075FD3"/>
    <w:rsid w:val="00091DAD"/>
    <w:rsid w:val="000A2B97"/>
    <w:rsid w:val="000A411A"/>
    <w:rsid w:val="000D62F1"/>
    <w:rsid w:val="001041F5"/>
    <w:rsid w:val="00147F3E"/>
    <w:rsid w:val="00151C18"/>
    <w:rsid w:val="00174B47"/>
    <w:rsid w:val="00191127"/>
    <w:rsid w:val="00193AAF"/>
    <w:rsid w:val="00194037"/>
    <w:rsid w:val="001C5B7C"/>
    <w:rsid w:val="001D48E8"/>
    <w:rsid w:val="001E3CC3"/>
    <w:rsid w:val="001F5EE0"/>
    <w:rsid w:val="001F7179"/>
    <w:rsid w:val="00216137"/>
    <w:rsid w:val="002271A7"/>
    <w:rsid w:val="00257ED7"/>
    <w:rsid w:val="002677BD"/>
    <w:rsid w:val="002A6ECC"/>
    <w:rsid w:val="002F338F"/>
    <w:rsid w:val="003118F6"/>
    <w:rsid w:val="003157F5"/>
    <w:rsid w:val="0037148E"/>
    <w:rsid w:val="003818F9"/>
    <w:rsid w:val="003A7078"/>
    <w:rsid w:val="003E7C17"/>
    <w:rsid w:val="003F3181"/>
    <w:rsid w:val="00413037"/>
    <w:rsid w:val="00441F4A"/>
    <w:rsid w:val="00475401"/>
    <w:rsid w:val="004916EA"/>
    <w:rsid w:val="0049204B"/>
    <w:rsid w:val="0049648C"/>
    <w:rsid w:val="004D3806"/>
    <w:rsid w:val="004D4CF4"/>
    <w:rsid w:val="00503B14"/>
    <w:rsid w:val="005208A7"/>
    <w:rsid w:val="00540AEC"/>
    <w:rsid w:val="00541C0C"/>
    <w:rsid w:val="00570C98"/>
    <w:rsid w:val="005A2292"/>
    <w:rsid w:val="005A2476"/>
    <w:rsid w:val="005A5E6A"/>
    <w:rsid w:val="005B2CD8"/>
    <w:rsid w:val="005E55F3"/>
    <w:rsid w:val="005F2840"/>
    <w:rsid w:val="005F3E9C"/>
    <w:rsid w:val="005F7D66"/>
    <w:rsid w:val="00601A72"/>
    <w:rsid w:val="00606090"/>
    <w:rsid w:val="00610545"/>
    <w:rsid w:val="00622B33"/>
    <w:rsid w:val="0062596B"/>
    <w:rsid w:val="006647F9"/>
    <w:rsid w:val="006806ED"/>
    <w:rsid w:val="00685305"/>
    <w:rsid w:val="006B1872"/>
    <w:rsid w:val="006D68D2"/>
    <w:rsid w:val="006E7514"/>
    <w:rsid w:val="006F1B18"/>
    <w:rsid w:val="00705521"/>
    <w:rsid w:val="00727378"/>
    <w:rsid w:val="00730EEB"/>
    <w:rsid w:val="00731DCF"/>
    <w:rsid w:val="00736783"/>
    <w:rsid w:val="00780CAE"/>
    <w:rsid w:val="007A7BC6"/>
    <w:rsid w:val="007D13ED"/>
    <w:rsid w:val="007D3F87"/>
    <w:rsid w:val="007E7411"/>
    <w:rsid w:val="00807D3B"/>
    <w:rsid w:val="00824A7C"/>
    <w:rsid w:val="00841B11"/>
    <w:rsid w:val="00845606"/>
    <w:rsid w:val="00852CE9"/>
    <w:rsid w:val="008A0DCE"/>
    <w:rsid w:val="008D6409"/>
    <w:rsid w:val="008E3FAB"/>
    <w:rsid w:val="00970D4A"/>
    <w:rsid w:val="00973FE8"/>
    <w:rsid w:val="009822D4"/>
    <w:rsid w:val="00984FA1"/>
    <w:rsid w:val="00994774"/>
    <w:rsid w:val="009A3A1B"/>
    <w:rsid w:val="009A66D1"/>
    <w:rsid w:val="009D55E7"/>
    <w:rsid w:val="009F5BB3"/>
    <w:rsid w:val="00A016CC"/>
    <w:rsid w:val="00A12A24"/>
    <w:rsid w:val="00A14AA2"/>
    <w:rsid w:val="00A1610F"/>
    <w:rsid w:val="00A27BD0"/>
    <w:rsid w:val="00A74947"/>
    <w:rsid w:val="00A762DC"/>
    <w:rsid w:val="00A833B1"/>
    <w:rsid w:val="00A908EA"/>
    <w:rsid w:val="00A949A5"/>
    <w:rsid w:val="00AA759B"/>
    <w:rsid w:val="00AB5A90"/>
    <w:rsid w:val="00AC1B43"/>
    <w:rsid w:val="00B2366C"/>
    <w:rsid w:val="00B31D6A"/>
    <w:rsid w:val="00B32ECA"/>
    <w:rsid w:val="00B41C9C"/>
    <w:rsid w:val="00B428F7"/>
    <w:rsid w:val="00B56C36"/>
    <w:rsid w:val="00B75998"/>
    <w:rsid w:val="00BA2D3B"/>
    <w:rsid w:val="00BB205E"/>
    <w:rsid w:val="00BB299D"/>
    <w:rsid w:val="00BE7272"/>
    <w:rsid w:val="00C05876"/>
    <w:rsid w:val="00C17D02"/>
    <w:rsid w:val="00C20DC6"/>
    <w:rsid w:val="00C34231"/>
    <w:rsid w:val="00C43DBE"/>
    <w:rsid w:val="00C85496"/>
    <w:rsid w:val="00C873F2"/>
    <w:rsid w:val="00CB13BE"/>
    <w:rsid w:val="00CC4FBC"/>
    <w:rsid w:val="00CE642E"/>
    <w:rsid w:val="00CF50FD"/>
    <w:rsid w:val="00D134A7"/>
    <w:rsid w:val="00D16415"/>
    <w:rsid w:val="00D25EA6"/>
    <w:rsid w:val="00D60ED8"/>
    <w:rsid w:val="00D65248"/>
    <w:rsid w:val="00D74A38"/>
    <w:rsid w:val="00D875DA"/>
    <w:rsid w:val="00D945F4"/>
    <w:rsid w:val="00DB1809"/>
    <w:rsid w:val="00DE0147"/>
    <w:rsid w:val="00E0324B"/>
    <w:rsid w:val="00E578E1"/>
    <w:rsid w:val="00E92798"/>
    <w:rsid w:val="00E95C77"/>
    <w:rsid w:val="00EA3517"/>
    <w:rsid w:val="00ED3712"/>
    <w:rsid w:val="00EE56A6"/>
    <w:rsid w:val="00EE6BE1"/>
    <w:rsid w:val="00EF66D5"/>
    <w:rsid w:val="00F0416E"/>
    <w:rsid w:val="00F1499C"/>
    <w:rsid w:val="00F305AB"/>
    <w:rsid w:val="00F32B44"/>
    <w:rsid w:val="00F8312B"/>
    <w:rsid w:val="00FB64C5"/>
    <w:rsid w:val="00FD093F"/>
    <w:rsid w:val="00FE4082"/>
    <w:rsid w:val="00FE7079"/>
    <w:rsid w:val="00FF0A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66124A"/>
  <w15:chartTrackingRefBased/>
  <w15:docId w15:val="{CACA0E27-A3BF-4D43-A38D-7D22166C3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090"/>
    <w:pPr>
      <w:spacing w:after="120" w:line="240" w:lineRule="auto"/>
      <w:ind w:left="567" w:right="-397"/>
    </w:pPr>
    <w:rPr>
      <w:rFonts w:ascii="Arial" w:hAnsi="Arial" w:cs="Arial"/>
      <w:bCs/>
      <w:lang w:val="en-US"/>
    </w:rPr>
  </w:style>
  <w:style w:type="paragraph" w:styleId="Heading1">
    <w:name w:val="heading 1"/>
    <w:basedOn w:val="Normal"/>
    <w:next w:val="Normal"/>
    <w:link w:val="Heading1Char"/>
    <w:uiPriority w:val="9"/>
    <w:qFormat/>
    <w:rsid w:val="00970D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70D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70D4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70D4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70D4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70D4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0D4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0D4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0D4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0D4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70D4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70D4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0D4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70D4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70D4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0D4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0D4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0D4A"/>
    <w:rPr>
      <w:rFonts w:eastAsiaTheme="majorEastAsia" w:cstheme="majorBidi"/>
      <w:color w:val="272727" w:themeColor="text1" w:themeTint="D8"/>
    </w:rPr>
  </w:style>
  <w:style w:type="paragraph" w:styleId="Title">
    <w:name w:val="Title"/>
    <w:basedOn w:val="Normal"/>
    <w:next w:val="Normal"/>
    <w:link w:val="TitleChar"/>
    <w:uiPriority w:val="10"/>
    <w:qFormat/>
    <w:rsid w:val="00970D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0D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0D4A"/>
    <w:pPr>
      <w:numPr>
        <w:ilvl w:val="1"/>
      </w:numPr>
      <w:ind w:left="567"/>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0D4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0D4A"/>
    <w:pPr>
      <w:spacing w:before="160"/>
      <w:jc w:val="center"/>
    </w:pPr>
    <w:rPr>
      <w:i/>
      <w:iCs/>
      <w:color w:val="404040" w:themeColor="text1" w:themeTint="BF"/>
    </w:rPr>
  </w:style>
  <w:style w:type="character" w:customStyle="1" w:styleId="QuoteChar">
    <w:name w:val="Quote Char"/>
    <w:basedOn w:val="DefaultParagraphFont"/>
    <w:link w:val="Quote"/>
    <w:uiPriority w:val="29"/>
    <w:rsid w:val="00970D4A"/>
    <w:rPr>
      <w:i/>
      <w:iCs/>
      <w:color w:val="404040" w:themeColor="text1" w:themeTint="BF"/>
    </w:rPr>
  </w:style>
  <w:style w:type="paragraph" w:styleId="ListParagraph">
    <w:name w:val="List Paragraph"/>
    <w:basedOn w:val="Normal"/>
    <w:uiPriority w:val="34"/>
    <w:qFormat/>
    <w:rsid w:val="00970D4A"/>
    <w:pPr>
      <w:ind w:left="720"/>
      <w:contextualSpacing/>
    </w:pPr>
  </w:style>
  <w:style w:type="character" w:styleId="IntenseEmphasis">
    <w:name w:val="Intense Emphasis"/>
    <w:basedOn w:val="DefaultParagraphFont"/>
    <w:uiPriority w:val="21"/>
    <w:qFormat/>
    <w:rsid w:val="00970D4A"/>
    <w:rPr>
      <w:i/>
      <w:iCs/>
      <w:color w:val="0F4761" w:themeColor="accent1" w:themeShade="BF"/>
    </w:rPr>
  </w:style>
  <w:style w:type="paragraph" w:styleId="IntenseQuote">
    <w:name w:val="Intense Quote"/>
    <w:basedOn w:val="Normal"/>
    <w:next w:val="Normal"/>
    <w:link w:val="IntenseQuoteChar"/>
    <w:uiPriority w:val="30"/>
    <w:qFormat/>
    <w:rsid w:val="00970D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70D4A"/>
    <w:rPr>
      <w:i/>
      <w:iCs/>
      <w:color w:val="0F4761" w:themeColor="accent1" w:themeShade="BF"/>
    </w:rPr>
  </w:style>
  <w:style w:type="character" w:styleId="IntenseReference">
    <w:name w:val="Intense Reference"/>
    <w:basedOn w:val="DefaultParagraphFont"/>
    <w:uiPriority w:val="32"/>
    <w:qFormat/>
    <w:rsid w:val="00970D4A"/>
    <w:rPr>
      <w:b/>
      <w:bCs/>
      <w:smallCaps/>
      <w:color w:val="0F4761" w:themeColor="accent1" w:themeShade="BF"/>
      <w:spacing w:val="5"/>
    </w:rPr>
  </w:style>
  <w:style w:type="paragraph" w:styleId="Header">
    <w:name w:val="header"/>
    <w:basedOn w:val="Normal"/>
    <w:link w:val="HeaderChar"/>
    <w:uiPriority w:val="99"/>
    <w:unhideWhenUsed/>
    <w:rsid w:val="00A14AA2"/>
    <w:pPr>
      <w:tabs>
        <w:tab w:val="center" w:pos="4153"/>
        <w:tab w:val="right" w:pos="8306"/>
      </w:tabs>
      <w:spacing w:after="0"/>
    </w:pPr>
  </w:style>
  <w:style w:type="character" w:customStyle="1" w:styleId="HeaderChar">
    <w:name w:val="Header Char"/>
    <w:basedOn w:val="DefaultParagraphFont"/>
    <w:link w:val="Header"/>
    <w:uiPriority w:val="99"/>
    <w:rsid w:val="00A14AA2"/>
  </w:style>
  <w:style w:type="paragraph" w:styleId="Footer">
    <w:name w:val="footer"/>
    <w:basedOn w:val="Normal"/>
    <w:link w:val="FooterChar"/>
    <w:uiPriority w:val="99"/>
    <w:unhideWhenUsed/>
    <w:rsid w:val="00A14AA2"/>
    <w:pPr>
      <w:tabs>
        <w:tab w:val="center" w:pos="4153"/>
        <w:tab w:val="right" w:pos="8306"/>
      </w:tabs>
      <w:spacing w:after="0"/>
    </w:pPr>
  </w:style>
  <w:style w:type="character" w:customStyle="1" w:styleId="FooterChar">
    <w:name w:val="Footer Char"/>
    <w:basedOn w:val="DefaultParagraphFont"/>
    <w:link w:val="Footer"/>
    <w:uiPriority w:val="99"/>
    <w:rsid w:val="00A14AA2"/>
  </w:style>
  <w:style w:type="paragraph" w:styleId="BodyText">
    <w:name w:val="Body Text"/>
    <w:basedOn w:val="Normal"/>
    <w:link w:val="BodyTextChar"/>
    <w:uiPriority w:val="99"/>
    <w:rsid w:val="00606090"/>
    <w:pPr>
      <w:spacing w:after="0"/>
      <w:ind w:left="0" w:right="0"/>
      <w:jc w:val="both"/>
    </w:pPr>
    <w:rPr>
      <w:rFonts w:eastAsia="Times New Roman"/>
      <w:b/>
      <w:kern w:val="0"/>
      <w:sz w:val="24"/>
      <w:szCs w:val="20"/>
      <w:lang w:val="el-GR" w:eastAsia="el-GR"/>
      <w14:ligatures w14:val="none"/>
    </w:rPr>
  </w:style>
  <w:style w:type="character" w:customStyle="1" w:styleId="BodyTextChar">
    <w:name w:val="Body Text Char"/>
    <w:basedOn w:val="DefaultParagraphFont"/>
    <w:link w:val="BodyText"/>
    <w:rsid w:val="00606090"/>
    <w:rPr>
      <w:rFonts w:ascii="Arial" w:eastAsia="Times New Roman" w:hAnsi="Arial" w:cs="Arial"/>
      <w:b/>
      <w:bCs/>
      <w:kern w:val="0"/>
      <w:sz w:val="24"/>
      <w:szCs w:val="20"/>
      <w:lang w:eastAsia="el-GR"/>
      <w14:ligatures w14:val="none"/>
    </w:rPr>
  </w:style>
  <w:style w:type="paragraph" w:styleId="Caption">
    <w:name w:val="caption"/>
    <w:basedOn w:val="Normal"/>
    <w:next w:val="Normal"/>
    <w:qFormat/>
    <w:rsid w:val="00606090"/>
    <w:pPr>
      <w:spacing w:after="0"/>
      <w:ind w:left="0" w:right="0"/>
      <w:jc w:val="both"/>
    </w:pPr>
    <w:rPr>
      <w:rFonts w:eastAsia="Times New Roman"/>
      <w:b/>
      <w:kern w:val="0"/>
      <w:sz w:val="24"/>
      <w:szCs w:val="20"/>
      <w:lang w:val="el-GR" w:eastAsia="el-GR"/>
      <w14:ligatures w14:val="none"/>
    </w:rPr>
  </w:style>
  <w:style w:type="character" w:styleId="Hyperlink">
    <w:name w:val="Hyperlink"/>
    <w:uiPriority w:val="99"/>
    <w:rsid w:val="00606090"/>
    <w:rPr>
      <w:rFonts w:cs="Times New Roman"/>
      <w:color w:val="0000FF"/>
      <w:u w:val="single"/>
    </w:rPr>
  </w:style>
  <w:style w:type="table" w:styleId="TableGrid">
    <w:name w:val="Table Grid"/>
    <w:basedOn w:val="TableNormal"/>
    <w:uiPriority w:val="59"/>
    <w:rsid w:val="00606090"/>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606090"/>
    <w:pPr>
      <w:autoSpaceDE w:val="0"/>
      <w:spacing w:after="0"/>
      <w:ind w:left="0" w:right="0"/>
    </w:pPr>
    <w:rPr>
      <w:bCs w:val="0"/>
      <w:color w:val="000000"/>
      <w:kern w:val="0"/>
      <w:sz w:val="24"/>
      <w:szCs w:val="24"/>
      <w:lang w:val="el-GR" w:eastAsia="ar-SA"/>
      <w14:ligatures w14:val="none"/>
    </w:rPr>
  </w:style>
  <w:style w:type="paragraph" w:styleId="FootnoteText">
    <w:name w:val="footnote text"/>
    <w:basedOn w:val="Normal"/>
    <w:link w:val="FootnoteTextChar"/>
    <w:uiPriority w:val="99"/>
    <w:unhideWhenUsed/>
    <w:rsid w:val="00736783"/>
    <w:pPr>
      <w:spacing w:after="0"/>
    </w:pPr>
    <w:rPr>
      <w:sz w:val="20"/>
      <w:szCs w:val="20"/>
    </w:rPr>
  </w:style>
  <w:style w:type="character" w:customStyle="1" w:styleId="FootnoteTextChar">
    <w:name w:val="Footnote Text Char"/>
    <w:basedOn w:val="DefaultParagraphFont"/>
    <w:link w:val="FootnoteText"/>
    <w:uiPriority w:val="99"/>
    <w:rsid w:val="00736783"/>
    <w:rPr>
      <w:rFonts w:ascii="Arial" w:hAnsi="Arial" w:cs="Arial"/>
      <w:bCs/>
      <w:sz w:val="20"/>
      <w:szCs w:val="20"/>
      <w:lang w:val="en-US"/>
    </w:rPr>
  </w:style>
  <w:style w:type="character" w:styleId="FootnoteReference">
    <w:name w:val="footnote reference"/>
    <w:basedOn w:val="DefaultParagraphFont"/>
    <w:uiPriority w:val="99"/>
    <w:semiHidden/>
    <w:unhideWhenUsed/>
    <w:rsid w:val="00736783"/>
    <w:rPr>
      <w:vertAlign w:val="superscript"/>
    </w:rPr>
  </w:style>
  <w:style w:type="paragraph" w:styleId="BodyText3">
    <w:name w:val="Body Text 3"/>
    <w:basedOn w:val="Normal"/>
    <w:link w:val="BodyText3Char"/>
    <w:unhideWhenUsed/>
    <w:rsid w:val="00D25EA6"/>
    <w:rPr>
      <w:sz w:val="16"/>
      <w:szCs w:val="16"/>
    </w:rPr>
  </w:style>
  <w:style w:type="character" w:customStyle="1" w:styleId="BodyText3Char">
    <w:name w:val="Body Text 3 Char"/>
    <w:basedOn w:val="DefaultParagraphFont"/>
    <w:link w:val="BodyText3"/>
    <w:rsid w:val="00D25EA6"/>
    <w:rPr>
      <w:rFonts w:ascii="Arial" w:hAnsi="Arial" w:cs="Arial"/>
      <w:bCs/>
      <w:sz w:val="16"/>
      <w:szCs w:val="16"/>
      <w:lang w:val="en-US"/>
    </w:rPr>
  </w:style>
  <w:style w:type="numbering" w:customStyle="1" w:styleId="NoList1">
    <w:name w:val="No List1"/>
    <w:next w:val="NoList"/>
    <w:uiPriority w:val="99"/>
    <w:semiHidden/>
    <w:unhideWhenUsed/>
    <w:rsid w:val="00D25EA6"/>
  </w:style>
  <w:style w:type="paragraph" w:styleId="Revision">
    <w:name w:val="Revision"/>
    <w:hidden/>
    <w:uiPriority w:val="99"/>
    <w:semiHidden/>
    <w:rsid w:val="00D25EA6"/>
    <w:pPr>
      <w:spacing w:after="0" w:line="240" w:lineRule="auto"/>
    </w:pPr>
    <w:rPr>
      <w:rFonts w:ascii="Calibri" w:eastAsia="Calibri" w:hAnsi="Calibri" w:cs="Calibri"/>
      <w:kern w:val="0"/>
      <w14:ligatures w14:val="none"/>
    </w:rPr>
  </w:style>
  <w:style w:type="character" w:styleId="CommentReference">
    <w:name w:val="annotation reference"/>
    <w:basedOn w:val="DefaultParagraphFont"/>
    <w:uiPriority w:val="99"/>
    <w:semiHidden/>
    <w:unhideWhenUsed/>
    <w:rsid w:val="00D25EA6"/>
    <w:rPr>
      <w:sz w:val="16"/>
      <w:szCs w:val="16"/>
    </w:rPr>
  </w:style>
  <w:style w:type="paragraph" w:styleId="CommentText">
    <w:name w:val="annotation text"/>
    <w:basedOn w:val="Normal"/>
    <w:link w:val="CommentTextChar"/>
    <w:uiPriority w:val="99"/>
    <w:unhideWhenUsed/>
    <w:rsid w:val="00D25EA6"/>
    <w:pPr>
      <w:widowControl w:val="0"/>
      <w:autoSpaceDE w:val="0"/>
      <w:autoSpaceDN w:val="0"/>
      <w:spacing w:after="240" w:line="360" w:lineRule="atLeast"/>
      <w:ind w:left="0" w:right="0"/>
      <w:jc w:val="both"/>
    </w:pPr>
    <w:rPr>
      <w:rFonts w:ascii="Calibri" w:eastAsia="Calibri" w:hAnsi="Calibri" w:cs="Calibri"/>
      <w:bCs w:val="0"/>
      <w:kern w:val="0"/>
      <w:sz w:val="20"/>
      <w:szCs w:val="20"/>
      <w:lang w:val="el-GR"/>
      <w14:ligatures w14:val="none"/>
    </w:rPr>
  </w:style>
  <w:style w:type="character" w:customStyle="1" w:styleId="CommentTextChar">
    <w:name w:val="Comment Text Char"/>
    <w:basedOn w:val="DefaultParagraphFont"/>
    <w:link w:val="CommentText"/>
    <w:uiPriority w:val="99"/>
    <w:rsid w:val="00D25EA6"/>
    <w:rPr>
      <w:rFonts w:ascii="Calibri" w:eastAsia="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D25EA6"/>
    <w:rPr>
      <w:b/>
      <w:bCs/>
    </w:rPr>
  </w:style>
  <w:style w:type="character" w:customStyle="1" w:styleId="CommentSubjectChar">
    <w:name w:val="Comment Subject Char"/>
    <w:basedOn w:val="CommentTextChar"/>
    <w:link w:val="CommentSubject"/>
    <w:uiPriority w:val="99"/>
    <w:semiHidden/>
    <w:rsid w:val="00D25EA6"/>
    <w:rPr>
      <w:rFonts w:ascii="Calibri" w:eastAsia="Calibri" w:hAnsi="Calibri" w:cs="Calibri"/>
      <w:b/>
      <w:bCs/>
      <w:kern w:val="0"/>
      <w:sz w:val="20"/>
      <w:szCs w:val="20"/>
      <w14:ligatures w14:val="none"/>
    </w:rPr>
  </w:style>
  <w:style w:type="character" w:styleId="UnresolvedMention">
    <w:name w:val="Unresolved Mention"/>
    <w:basedOn w:val="DefaultParagraphFont"/>
    <w:uiPriority w:val="99"/>
    <w:semiHidden/>
    <w:unhideWhenUsed/>
    <w:rsid w:val="00D25EA6"/>
    <w:rPr>
      <w:color w:val="605E5C"/>
      <w:shd w:val="clear" w:color="auto" w:fill="E1DFDD"/>
    </w:rPr>
  </w:style>
  <w:style w:type="table" w:customStyle="1" w:styleId="TableGrid1">
    <w:name w:val="Table Grid1"/>
    <w:basedOn w:val="TableNormal"/>
    <w:next w:val="TableGrid"/>
    <w:uiPriority w:val="39"/>
    <w:rsid w:val="00D25EA6"/>
    <w:pPr>
      <w:spacing w:after="0" w:line="240" w:lineRule="auto"/>
      <w:ind w:left="567" w:right="-397"/>
    </w:pPr>
    <w:rPr>
      <w:rFonts w:ascii="Arial" w:hAnsi="Arial" w:cs="Arial"/>
      <w:bCs/>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25EA6"/>
    <w:rPr>
      <w:color w:val="96607D" w:themeColor="followedHyperlink"/>
      <w:u w:val="single"/>
    </w:rPr>
  </w:style>
  <w:style w:type="table" w:styleId="GridTable3">
    <w:name w:val="Grid Table 3"/>
    <w:basedOn w:val="TableNormal"/>
    <w:uiPriority w:val="48"/>
    <w:rsid w:val="00D25EA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NormalWeb">
    <w:name w:val="Normal (Web)"/>
    <w:basedOn w:val="Normal"/>
    <w:uiPriority w:val="99"/>
    <w:semiHidden/>
    <w:unhideWhenUsed/>
    <w:rsid w:val="00D25EA6"/>
    <w:pPr>
      <w:widowControl w:val="0"/>
      <w:autoSpaceDE w:val="0"/>
      <w:autoSpaceDN w:val="0"/>
      <w:spacing w:after="240" w:line="360" w:lineRule="atLeast"/>
      <w:ind w:left="0" w:right="0"/>
      <w:jc w:val="both"/>
    </w:pPr>
    <w:rPr>
      <w:rFonts w:ascii="Times New Roman" w:eastAsia="Calibri" w:hAnsi="Times New Roman" w:cs="Times New Roman"/>
      <w:bCs w:val="0"/>
      <w:kern w:val="0"/>
      <w:sz w:val="24"/>
      <w:szCs w:val="24"/>
      <w:lang w:val="el-GR"/>
      <w14:ligatures w14:val="none"/>
    </w:rPr>
  </w:style>
  <w:style w:type="table" w:styleId="GridTable5Dark-Accent4">
    <w:name w:val="Grid Table 5 Dark Accent 4"/>
    <w:basedOn w:val="TableNormal"/>
    <w:uiPriority w:val="50"/>
    <w:rsid w:val="00D25EA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EDFB"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9ED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9ED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9ED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9ED5" w:themeFill="accent4"/>
      </w:tcPr>
    </w:tblStylePr>
    <w:tblStylePr w:type="band1Vert">
      <w:tblPr/>
      <w:tcPr>
        <w:shd w:val="clear" w:color="auto" w:fill="95DCF7" w:themeFill="accent4" w:themeFillTint="66"/>
      </w:tcPr>
    </w:tblStylePr>
    <w:tblStylePr w:type="band1Horz">
      <w:tblPr/>
      <w:tcPr>
        <w:shd w:val="clear" w:color="auto" w:fill="95DCF7" w:themeFill="accent4" w:themeFillTint="66"/>
      </w:tcPr>
    </w:tblStylePr>
  </w:style>
  <w:style w:type="table" w:styleId="GridTable5Dark-Accent1">
    <w:name w:val="Grid Table 5 Dark Accent 1"/>
    <w:basedOn w:val="TableNormal"/>
    <w:uiPriority w:val="50"/>
    <w:rsid w:val="00D25EA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table" w:styleId="GridTable5Dark-Accent3">
    <w:name w:val="Grid Table 5 Dark Accent 3"/>
    <w:basedOn w:val="TableNormal"/>
    <w:uiPriority w:val="50"/>
    <w:rsid w:val="00D25EA6"/>
    <w:pPr>
      <w:spacing w:after="0" w:line="240" w:lineRule="auto"/>
    </w:pPr>
    <w:rPr>
      <w:sz w:val="24"/>
      <w:szCs w:val="24"/>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0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96B24"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96B24"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96B24"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96B24" w:themeFill="accent3"/>
      </w:tcPr>
    </w:tblStylePr>
    <w:tblStylePr w:type="band1Vert">
      <w:tblPr/>
      <w:tcPr>
        <w:shd w:val="clear" w:color="auto" w:fill="84E290" w:themeFill="accent3" w:themeFillTint="66"/>
      </w:tcPr>
    </w:tblStylePr>
    <w:tblStylePr w:type="band1Horz">
      <w:tblPr/>
      <w:tcPr>
        <w:shd w:val="clear" w:color="auto" w:fill="84E290" w:themeFill="accent3" w:themeFillTint="66"/>
      </w:tcPr>
    </w:tblStylePr>
  </w:style>
  <w:style w:type="numbering" w:customStyle="1" w:styleId="NoList2">
    <w:name w:val="No List2"/>
    <w:next w:val="NoList"/>
    <w:uiPriority w:val="99"/>
    <w:semiHidden/>
    <w:unhideWhenUsed/>
    <w:rsid w:val="007A7BC6"/>
  </w:style>
  <w:style w:type="table" w:customStyle="1" w:styleId="TableGrid2">
    <w:name w:val="Table Grid2"/>
    <w:basedOn w:val="TableNormal"/>
    <w:next w:val="TableGrid"/>
    <w:uiPriority w:val="39"/>
    <w:rsid w:val="007A7BC6"/>
    <w:pPr>
      <w:spacing w:after="0" w:line="240" w:lineRule="auto"/>
      <w:ind w:left="567" w:right="-397"/>
    </w:pPr>
    <w:rPr>
      <w:rFonts w:ascii="Arial" w:hAnsi="Arial" w:cs="Arial"/>
      <w:bCs/>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692665">
      <w:bodyDiv w:val="1"/>
      <w:marLeft w:val="0"/>
      <w:marRight w:val="0"/>
      <w:marTop w:val="0"/>
      <w:marBottom w:val="0"/>
      <w:divBdr>
        <w:top w:val="none" w:sz="0" w:space="0" w:color="auto"/>
        <w:left w:val="none" w:sz="0" w:space="0" w:color="auto"/>
        <w:bottom w:val="none" w:sz="0" w:space="0" w:color="auto"/>
        <w:right w:val="none" w:sz="0" w:space="0" w:color="auto"/>
      </w:divBdr>
    </w:div>
    <w:div w:id="955019082">
      <w:bodyDiv w:val="1"/>
      <w:marLeft w:val="0"/>
      <w:marRight w:val="0"/>
      <w:marTop w:val="0"/>
      <w:marBottom w:val="0"/>
      <w:divBdr>
        <w:top w:val="none" w:sz="0" w:space="0" w:color="auto"/>
        <w:left w:val="none" w:sz="0" w:space="0" w:color="auto"/>
        <w:bottom w:val="none" w:sz="0" w:space="0" w:color="auto"/>
        <w:right w:val="none" w:sz="0" w:space="0" w:color="auto"/>
      </w:divBdr>
    </w:div>
    <w:div w:id="1190530510">
      <w:bodyDiv w:val="1"/>
      <w:marLeft w:val="0"/>
      <w:marRight w:val="0"/>
      <w:marTop w:val="0"/>
      <w:marBottom w:val="0"/>
      <w:divBdr>
        <w:top w:val="none" w:sz="0" w:space="0" w:color="auto"/>
        <w:left w:val="none" w:sz="0" w:space="0" w:color="auto"/>
        <w:bottom w:val="none" w:sz="0" w:space="0" w:color="auto"/>
        <w:right w:val="none" w:sz="0" w:space="0" w:color="auto"/>
      </w:divBdr>
    </w:div>
    <w:div w:id="186786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93FCE-E254-4862-9959-64549ABF230D}">
  <ds:schemaRefs>
    <ds:schemaRef ds:uri="http://schemas.openxmlformats.org/officeDocument/2006/bibliography"/>
  </ds:schemaRefs>
</ds:datastoreItem>
</file>

<file path=docMetadata/LabelInfo.xml><?xml version="1.0" encoding="utf-8"?>
<clbl:labelList xmlns:clbl="http://schemas.microsoft.com/office/2020/mipLabelMetadata">
  <clbl:label id="{82bcfee7-4486-4309-a860-04936daa697d}" enabled="0" method="" siteId="{82bcfee7-4486-4309-a860-04936daa697d}" removed="1"/>
</clbl:labelList>
</file>

<file path=docProps/app.xml><?xml version="1.0" encoding="utf-8"?>
<Properties xmlns="http://schemas.openxmlformats.org/officeDocument/2006/extended-properties" xmlns:vt="http://schemas.openxmlformats.org/officeDocument/2006/docPropsVTypes">
  <Template>Normal</Template>
  <TotalTime>23</TotalTime>
  <Pages>30</Pages>
  <Words>8156</Words>
  <Characters>46163</Characters>
  <Application>Microsoft Office Word</Application>
  <DocSecurity>0</DocSecurity>
  <Lines>756</Lines>
  <Paragraphs>223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54096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Vassia Theochari</dc:creator>
  <cp:keywords/>
  <dc:description/>
  <cp:lastModifiedBy>Makrodimitri Athanasia</cp:lastModifiedBy>
  <cp:revision>7</cp:revision>
  <cp:lastPrinted>2025-10-13T07:29:00Z</cp:lastPrinted>
  <dcterms:created xsi:type="dcterms:W3CDTF">2025-10-16T12:06:00Z</dcterms:created>
  <dcterms:modified xsi:type="dcterms:W3CDTF">2025-10-17T09:34:00Z</dcterms:modified>
</cp:coreProperties>
</file>